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-57150</wp:posOffset>
            </wp:positionH>
            <wp:positionV relativeFrom="paragraph">
              <wp:posOffset>108585</wp:posOffset>
            </wp:positionV>
            <wp:extent cx="6120130" cy="1768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68475"/>
                    </a:xfrm>
                    <a:prstGeom prst="rect">
                      <a:avLst/>
                    </a:prstGeom>
                  </pic:spPr>
                </pic:pic>
              </a:graphicData>
            </a:graphic>
          </wp:anchor>
        </w:drawing>
      </w:r>
    </w:p>
    <w:p>
      <w:pPr>
        <w:pStyle w:val="Normal"/>
        <w:bidi w:val="0"/>
        <w:jc w:val="left"/>
        <w:rPr/>
      </w:pPr>
      <w:r>
        <w:rPr/>
      </w:r>
    </w:p>
    <w:p>
      <w:pPr>
        <w:pStyle w:val="Normal"/>
        <w:bidi w:val="0"/>
        <w:jc w:val="left"/>
        <w:rPr/>
      </w:pPr>
      <w:r>
        <w:rPr/>
        <w:t xml:space="preserve">Answer: </w:t>
      </w:r>
      <w:r>
        <w:rPr>
          <w:b/>
          <w:bCs/>
        </w:rPr>
        <w:t>C</w:t>
      </w:r>
    </w:p>
    <w:p>
      <w:pPr>
        <w:pStyle w:val="Normal"/>
        <w:bidi w:val="0"/>
        <w:jc w:val="left"/>
        <w:rPr/>
      </w:pPr>
      <w:r>
        <w:rPr/>
      </w:r>
    </w:p>
    <w:p>
      <w:pPr>
        <w:pStyle w:val="Normal"/>
        <w:bidi w:val="0"/>
        <w:jc w:val="left"/>
        <w:rPr/>
      </w:pPr>
      <w:r>
        <w:rPr/>
      </w:r>
    </w:p>
    <w:p>
      <w:pPr>
        <w:pStyle w:val="Normal"/>
        <w:bidi w:val="0"/>
        <w:jc w:val="left"/>
        <w:rPr/>
      </w:pPr>
      <w:r>
        <w:rPr/>
        <w:t xml:space="preserve">My interpretation of the question and the process of arriving at the solution is as follows. The elements are present in an array with starting index 0 and ending index n. As each thread processes two adjacent elements from the array, the index of the first element to be processed by each thread </w:t>
      </w:r>
      <w:r>
        <w:rPr/>
        <w:t xml:space="preserve">compared to the next thread </w:t>
      </w:r>
      <w:r>
        <w:rPr/>
        <w:t>should have a difference of 2. For instance, the first element of thread 0 should be 0, the first element of thread 1 should be 2, the first element of thread 2 must be 4, etc. The expression given in answer choice C satifies this contraint. A few results are given in the table below.</w:t>
      </w:r>
    </w:p>
    <w:p>
      <w:pPr>
        <w:pStyle w:val="Normal"/>
        <w:bidi w:val="0"/>
        <w:jc w:val="left"/>
        <w:rPr/>
      </w:pPr>
      <w:r>
        <w:rPr/>
      </w:r>
    </w:p>
    <w:tbl>
      <w:tblPr>
        <w:tblW w:w="9645" w:type="dxa"/>
        <w:jc w:val="left"/>
        <w:tblInd w:w="55" w:type="dxa"/>
        <w:tblCellMar>
          <w:top w:w="55" w:type="dxa"/>
          <w:left w:w="55" w:type="dxa"/>
          <w:bottom w:w="55" w:type="dxa"/>
          <w:right w:w="55" w:type="dxa"/>
        </w:tblCellMar>
      </w:tblPr>
      <w:tblGrid>
        <w:gridCol w:w="1304"/>
        <w:gridCol w:w="630"/>
        <w:gridCol w:w="616"/>
        <w:gridCol w:w="675"/>
        <w:gridCol w:w="1140"/>
        <w:gridCol w:w="1140"/>
        <w:gridCol w:w="795"/>
        <w:gridCol w:w="675"/>
        <w:gridCol w:w="1365"/>
        <w:gridCol w:w="1304"/>
      </w:tblGrid>
      <w:tr>
        <w:trPr/>
        <w:tc>
          <w:tcPr>
            <w:tcW w:w="1304" w:type="dxa"/>
            <w:tcBorders>
              <w:top w:val="single" w:sz="2" w:space="0" w:color="000000"/>
              <w:left w:val="single" w:sz="2" w:space="0" w:color="000000"/>
              <w:bottom w:val="single" w:sz="2" w:space="0" w:color="000000"/>
            </w:tcBorders>
          </w:tcPr>
          <w:p>
            <w:pPr>
              <w:pStyle w:val="TableContents"/>
              <w:bidi w:val="0"/>
              <w:jc w:val="center"/>
              <w:rPr>
                <w:b/>
                <w:b/>
                <w:bCs/>
              </w:rPr>
            </w:pPr>
            <w:r>
              <w:rPr>
                <w:b/>
                <w:bCs/>
              </w:rPr>
              <w:t>blockDim</w:t>
            </w:r>
          </w:p>
        </w:tc>
        <w:tc>
          <w:tcPr>
            <w:tcW w:w="8340" w:type="dxa"/>
            <w:gridSpan w:val="9"/>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256</w:t>
            </w:r>
          </w:p>
        </w:tc>
      </w:tr>
      <w:tr>
        <w:trPr/>
        <w:tc>
          <w:tcPr>
            <w:tcW w:w="1304" w:type="dxa"/>
            <w:tcBorders>
              <w:left w:val="single" w:sz="2" w:space="0" w:color="000000"/>
              <w:bottom w:val="single" w:sz="2" w:space="0" w:color="000000"/>
            </w:tcBorders>
          </w:tcPr>
          <w:p>
            <w:pPr>
              <w:pStyle w:val="TableContents"/>
              <w:bidi w:val="0"/>
              <w:jc w:val="center"/>
              <w:rPr>
                <w:b/>
                <w:b/>
                <w:bCs/>
              </w:rPr>
            </w:pPr>
            <w:r>
              <w:rPr>
                <w:b/>
                <w:bCs/>
              </w:rPr>
              <w:t>blockIdx</w:t>
            </w:r>
          </w:p>
        </w:tc>
        <w:tc>
          <w:tcPr>
            <w:tcW w:w="4201" w:type="dxa"/>
            <w:gridSpan w:val="5"/>
            <w:tcBorders>
              <w:left w:val="single" w:sz="2" w:space="0" w:color="000000"/>
              <w:bottom w:val="single" w:sz="2" w:space="0" w:color="000000"/>
            </w:tcBorders>
          </w:tcPr>
          <w:p>
            <w:pPr>
              <w:pStyle w:val="TableContents"/>
              <w:bidi w:val="0"/>
              <w:jc w:val="center"/>
              <w:rPr/>
            </w:pPr>
            <w:r>
              <w:rPr/>
              <w:t>0</w:t>
            </w:r>
          </w:p>
        </w:tc>
        <w:tc>
          <w:tcPr>
            <w:tcW w:w="4139" w:type="dxa"/>
            <w:gridSpan w:val="4"/>
            <w:tcBorders>
              <w:left w:val="single" w:sz="2" w:space="0" w:color="000000"/>
              <w:bottom w:val="single" w:sz="2" w:space="0" w:color="000000"/>
              <w:right w:val="single" w:sz="2" w:space="0" w:color="000000"/>
            </w:tcBorders>
          </w:tcPr>
          <w:p>
            <w:pPr>
              <w:pStyle w:val="TableContents"/>
              <w:bidi w:val="0"/>
              <w:jc w:val="center"/>
              <w:rPr/>
            </w:pPr>
            <w:r>
              <w:rPr/>
              <w:t>1</w:t>
            </w:r>
          </w:p>
        </w:tc>
      </w:tr>
      <w:tr>
        <w:trPr/>
        <w:tc>
          <w:tcPr>
            <w:tcW w:w="1304" w:type="dxa"/>
            <w:tcBorders>
              <w:left w:val="single" w:sz="2" w:space="0" w:color="000000"/>
              <w:bottom w:val="single" w:sz="2" w:space="0" w:color="000000"/>
            </w:tcBorders>
          </w:tcPr>
          <w:p>
            <w:pPr>
              <w:pStyle w:val="TableContents"/>
              <w:bidi w:val="0"/>
              <w:jc w:val="center"/>
              <w:rPr>
                <w:b/>
                <w:b/>
                <w:bCs/>
              </w:rPr>
            </w:pPr>
            <w:r>
              <w:rPr>
                <w:b/>
                <w:bCs/>
              </w:rPr>
              <w:t>threadIdx</w:t>
            </w:r>
          </w:p>
        </w:tc>
        <w:tc>
          <w:tcPr>
            <w:tcW w:w="630" w:type="dxa"/>
            <w:tcBorders>
              <w:left w:val="single" w:sz="2" w:space="0" w:color="000000"/>
              <w:bottom w:val="single" w:sz="2" w:space="0" w:color="000000"/>
            </w:tcBorders>
          </w:tcPr>
          <w:p>
            <w:pPr>
              <w:pStyle w:val="TableContents"/>
              <w:bidi w:val="0"/>
              <w:jc w:val="center"/>
              <w:rPr/>
            </w:pPr>
            <w:r>
              <w:rPr/>
              <w:t>0</w:t>
            </w:r>
          </w:p>
        </w:tc>
        <w:tc>
          <w:tcPr>
            <w:tcW w:w="616" w:type="dxa"/>
            <w:tcBorders>
              <w:left w:val="single" w:sz="2" w:space="0" w:color="000000"/>
              <w:bottom w:val="single" w:sz="2" w:space="0" w:color="000000"/>
            </w:tcBorders>
          </w:tcPr>
          <w:p>
            <w:pPr>
              <w:pStyle w:val="TableContents"/>
              <w:bidi w:val="0"/>
              <w:jc w:val="center"/>
              <w:rPr/>
            </w:pPr>
            <w:r>
              <w:rPr/>
              <w:t>1</w:t>
            </w:r>
          </w:p>
        </w:tc>
        <w:tc>
          <w:tcPr>
            <w:tcW w:w="675" w:type="dxa"/>
            <w:tcBorders>
              <w:left w:val="single" w:sz="2" w:space="0" w:color="000000"/>
              <w:bottom w:val="single" w:sz="2" w:space="0" w:color="000000"/>
            </w:tcBorders>
          </w:tcPr>
          <w:p>
            <w:pPr>
              <w:pStyle w:val="TableContents"/>
              <w:bidi w:val="0"/>
              <w:jc w:val="center"/>
              <w:rPr/>
            </w:pPr>
            <w:r>
              <w:rPr/>
              <w:t>2</w:t>
            </w:r>
          </w:p>
        </w:tc>
        <w:tc>
          <w:tcPr>
            <w:tcW w:w="1140" w:type="dxa"/>
            <w:tcBorders>
              <w:left w:val="single" w:sz="2" w:space="0" w:color="000000"/>
              <w:bottom w:val="single" w:sz="2" w:space="0" w:color="000000"/>
            </w:tcBorders>
          </w:tcPr>
          <w:p>
            <w:pPr>
              <w:pStyle w:val="TableContents"/>
              <w:bidi w:val="0"/>
              <w:jc w:val="center"/>
              <w:rPr/>
            </w:pPr>
            <w:r>
              <w:rPr/>
              <w:t>...</w:t>
            </w:r>
          </w:p>
        </w:tc>
        <w:tc>
          <w:tcPr>
            <w:tcW w:w="1140" w:type="dxa"/>
            <w:tcBorders>
              <w:left w:val="single" w:sz="2" w:space="0" w:color="000000"/>
              <w:bottom w:val="single" w:sz="2" w:space="0" w:color="000000"/>
            </w:tcBorders>
          </w:tcPr>
          <w:p>
            <w:pPr>
              <w:pStyle w:val="TableContents"/>
              <w:bidi w:val="0"/>
              <w:jc w:val="center"/>
              <w:rPr/>
            </w:pPr>
            <w:r>
              <w:rPr/>
              <w:t>255</w:t>
            </w:r>
          </w:p>
        </w:tc>
        <w:tc>
          <w:tcPr>
            <w:tcW w:w="795" w:type="dxa"/>
            <w:tcBorders>
              <w:left w:val="single" w:sz="2" w:space="0" w:color="000000"/>
              <w:bottom w:val="single" w:sz="2" w:space="0" w:color="000000"/>
            </w:tcBorders>
          </w:tcPr>
          <w:p>
            <w:pPr>
              <w:pStyle w:val="TableContents"/>
              <w:bidi w:val="0"/>
              <w:jc w:val="center"/>
              <w:rPr/>
            </w:pPr>
            <w:r>
              <w:rPr/>
              <w:t>0</w:t>
            </w:r>
          </w:p>
        </w:tc>
        <w:tc>
          <w:tcPr>
            <w:tcW w:w="675" w:type="dxa"/>
            <w:tcBorders>
              <w:left w:val="single" w:sz="2" w:space="0" w:color="000000"/>
              <w:bottom w:val="single" w:sz="2" w:space="0" w:color="000000"/>
            </w:tcBorders>
          </w:tcPr>
          <w:p>
            <w:pPr>
              <w:pStyle w:val="TableContents"/>
              <w:bidi w:val="0"/>
              <w:jc w:val="center"/>
              <w:rPr/>
            </w:pPr>
            <w:r>
              <w:rPr/>
              <w:t>1</w:t>
            </w:r>
          </w:p>
        </w:tc>
        <w:tc>
          <w:tcPr>
            <w:tcW w:w="1365" w:type="dxa"/>
            <w:tcBorders>
              <w:left w:val="single" w:sz="2" w:space="0" w:color="000000"/>
              <w:bottom w:val="single" w:sz="2" w:space="0" w:color="000000"/>
            </w:tcBorders>
          </w:tcPr>
          <w:p>
            <w:pPr>
              <w:pStyle w:val="TableContents"/>
              <w:bidi w:val="0"/>
              <w:jc w:val="center"/>
              <w:rPr/>
            </w:pPr>
            <w:r>
              <w:rPr/>
              <w:t>2</w:t>
            </w:r>
          </w:p>
        </w:tc>
        <w:tc>
          <w:tcPr>
            <w:tcW w:w="1304" w:type="dxa"/>
            <w:tcBorders>
              <w:left w:val="single" w:sz="2" w:space="0" w:color="000000"/>
              <w:bottom w:val="single" w:sz="2" w:space="0" w:color="000000"/>
              <w:right w:val="single" w:sz="2" w:space="0" w:color="000000"/>
            </w:tcBorders>
          </w:tcPr>
          <w:p>
            <w:pPr>
              <w:pStyle w:val="TableContents"/>
              <w:bidi w:val="0"/>
              <w:jc w:val="center"/>
              <w:rPr/>
            </w:pPr>
            <w:r>
              <w:rPr/>
              <w:t>...</w:t>
            </w:r>
          </w:p>
        </w:tc>
      </w:tr>
      <w:tr>
        <w:trPr/>
        <w:tc>
          <w:tcPr>
            <w:tcW w:w="1304" w:type="dxa"/>
            <w:tcBorders>
              <w:left w:val="single" w:sz="2" w:space="0" w:color="000000"/>
              <w:bottom w:val="single" w:sz="2" w:space="0" w:color="000000"/>
            </w:tcBorders>
          </w:tcPr>
          <w:p>
            <w:pPr>
              <w:pStyle w:val="TableContents"/>
              <w:bidi w:val="0"/>
              <w:jc w:val="center"/>
              <w:rPr>
                <w:b/>
                <w:b/>
                <w:bCs/>
              </w:rPr>
            </w:pPr>
            <w:r>
              <w:rPr>
                <w:b/>
                <w:bCs/>
              </w:rPr>
              <w:t>i</w:t>
            </w:r>
          </w:p>
        </w:tc>
        <w:tc>
          <w:tcPr>
            <w:tcW w:w="630" w:type="dxa"/>
            <w:tcBorders>
              <w:left w:val="single" w:sz="2" w:space="0" w:color="000000"/>
              <w:bottom w:val="single" w:sz="2" w:space="0" w:color="000000"/>
            </w:tcBorders>
          </w:tcPr>
          <w:p>
            <w:pPr>
              <w:pStyle w:val="TableContents"/>
              <w:bidi w:val="0"/>
              <w:jc w:val="center"/>
              <w:rPr/>
            </w:pPr>
            <w:r>
              <w:rPr/>
              <w:t>0</w:t>
            </w:r>
          </w:p>
        </w:tc>
        <w:tc>
          <w:tcPr>
            <w:tcW w:w="616" w:type="dxa"/>
            <w:tcBorders>
              <w:left w:val="single" w:sz="2" w:space="0" w:color="000000"/>
              <w:bottom w:val="single" w:sz="2" w:space="0" w:color="000000"/>
            </w:tcBorders>
          </w:tcPr>
          <w:p>
            <w:pPr>
              <w:pStyle w:val="TableContents"/>
              <w:bidi w:val="0"/>
              <w:jc w:val="center"/>
              <w:rPr/>
            </w:pPr>
            <w:r>
              <w:rPr/>
              <w:t>2</w:t>
            </w:r>
          </w:p>
        </w:tc>
        <w:tc>
          <w:tcPr>
            <w:tcW w:w="675" w:type="dxa"/>
            <w:tcBorders>
              <w:left w:val="single" w:sz="2" w:space="0" w:color="000000"/>
              <w:bottom w:val="single" w:sz="2" w:space="0" w:color="000000"/>
            </w:tcBorders>
          </w:tcPr>
          <w:p>
            <w:pPr>
              <w:pStyle w:val="TableContents"/>
              <w:bidi w:val="0"/>
              <w:jc w:val="center"/>
              <w:rPr/>
            </w:pPr>
            <w:r>
              <w:rPr/>
              <w:t>4</w:t>
            </w:r>
          </w:p>
        </w:tc>
        <w:tc>
          <w:tcPr>
            <w:tcW w:w="1140" w:type="dxa"/>
            <w:tcBorders>
              <w:left w:val="single" w:sz="2" w:space="0" w:color="000000"/>
              <w:bottom w:val="single" w:sz="2" w:space="0" w:color="000000"/>
            </w:tcBorders>
          </w:tcPr>
          <w:p>
            <w:pPr>
              <w:pStyle w:val="TableContents"/>
              <w:bidi w:val="0"/>
              <w:jc w:val="center"/>
              <w:rPr/>
            </w:pPr>
            <w:r>
              <w:rPr/>
              <w:t>...</w:t>
            </w:r>
          </w:p>
        </w:tc>
        <w:tc>
          <w:tcPr>
            <w:tcW w:w="1140" w:type="dxa"/>
            <w:tcBorders>
              <w:left w:val="single" w:sz="2" w:space="0" w:color="000000"/>
              <w:bottom w:val="single" w:sz="2" w:space="0" w:color="000000"/>
            </w:tcBorders>
          </w:tcPr>
          <w:p>
            <w:pPr>
              <w:pStyle w:val="TableContents"/>
              <w:bidi w:val="0"/>
              <w:jc w:val="center"/>
              <w:rPr/>
            </w:pPr>
            <w:r>
              <w:rPr/>
              <w:t>510</w:t>
            </w:r>
          </w:p>
        </w:tc>
        <w:tc>
          <w:tcPr>
            <w:tcW w:w="795" w:type="dxa"/>
            <w:tcBorders>
              <w:left w:val="single" w:sz="2" w:space="0" w:color="000000"/>
              <w:bottom w:val="single" w:sz="2" w:space="0" w:color="000000"/>
            </w:tcBorders>
          </w:tcPr>
          <w:p>
            <w:pPr>
              <w:pStyle w:val="TableContents"/>
              <w:bidi w:val="0"/>
              <w:jc w:val="center"/>
              <w:rPr/>
            </w:pPr>
            <w:r>
              <w:rPr/>
              <w:t>512</w:t>
            </w:r>
          </w:p>
        </w:tc>
        <w:tc>
          <w:tcPr>
            <w:tcW w:w="675" w:type="dxa"/>
            <w:tcBorders>
              <w:left w:val="single" w:sz="2" w:space="0" w:color="000000"/>
              <w:bottom w:val="single" w:sz="2" w:space="0" w:color="000000"/>
            </w:tcBorders>
          </w:tcPr>
          <w:p>
            <w:pPr>
              <w:pStyle w:val="TableContents"/>
              <w:bidi w:val="0"/>
              <w:jc w:val="center"/>
              <w:rPr/>
            </w:pPr>
            <w:r>
              <w:rPr/>
              <w:t>514</w:t>
            </w:r>
          </w:p>
        </w:tc>
        <w:tc>
          <w:tcPr>
            <w:tcW w:w="1365" w:type="dxa"/>
            <w:tcBorders>
              <w:left w:val="single" w:sz="2" w:space="0" w:color="000000"/>
              <w:bottom w:val="single" w:sz="2" w:space="0" w:color="000000"/>
            </w:tcBorders>
          </w:tcPr>
          <w:p>
            <w:pPr>
              <w:pStyle w:val="TableContents"/>
              <w:bidi w:val="0"/>
              <w:jc w:val="center"/>
              <w:rPr/>
            </w:pPr>
            <w:r>
              <w:rPr/>
              <w:t>516</w:t>
            </w:r>
          </w:p>
        </w:tc>
        <w:tc>
          <w:tcPr>
            <w:tcW w:w="1304" w:type="dxa"/>
            <w:tcBorders>
              <w:left w:val="single" w:sz="2" w:space="0" w:color="000000"/>
              <w:bottom w:val="single" w:sz="2" w:space="0" w:color="000000"/>
              <w:right w:val="single" w:sz="2" w:space="0" w:color="000000"/>
            </w:tcBorders>
          </w:tcPr>
          <w:p>
            <w:pPr>
              <w:pStyle w:val="TableContents"/>
              <w:bidi w:val="0"/>
              <w:jc w:val="center"/>
              <w:rPr/>
            </w:pPr>
            <w:r>
              <w:rPr/>
              <w:t>...</w:t>
            </w:r>
          </w:p>
        </w:tc>
      </w:tr>
    </w:tbl>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321945</wp:posOffset>
            </wp:positionV>
            <wp:extent cx="6120130" cy="1728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7284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Answer: </w:t>
      </w:r>
      <w:r>
        <w:rPr>
          <w:b/>
          <w:bCs/>
        </w:rPr>
        <w:t>D</w:t>
      </w:r>
    </w:p>
    <w:p>
      <w:pPr>
        <w:pStyle w:val="Normal"/>
        <w:bidi w:val="0"/>
        <w:jc w:val="left"/>
        <w:rPr/>
      </w:pPr>
      <w:r>
        <w:rPr/>
      </w:r>
    </w:p>
    <w:p>
      <w:pPr>
        <w:pStyle w:val="Normal"/>
        <w:bidi w:val="0"/>
        <w:jc w:val="left"/>
        <w:rPr/>
      </w:pPr>
      <w:r>
        <w:rPr/>
        <w:t>The first parameter to the cudaMalloc function is the address of a pointer variable that will be set to point to the allocated object. The address of the pointer variableshould be cast to (void **) because the function expects a generic pointer; the memory allocation function is a generic function that is not restricted to any particular type of objects.</w:t>
      </w:r>
    </w:p>
    <w:p>
      <w:pPr>
        <w:pStyle w:val="Normal"/>
        <w:bidi w:val="0"/>
        <w:jc w:val="left"/>
        <w:rPr/>
      </w:pPr>
      <w:r>
        <w:rPr/>
        <w:t>The CUDA toolkit documentation from Nvidia states the following.</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64770</wp:posOffset>
            </wp:positionH>
            <wp:positionV relativeFrom="paragraph">
              <wp:posOffset>121920</wp:posOffset>
            </wp:positionV>
            <wp:extent cx="5038725" cy="2743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8725" cy="27432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Reference:</w:t>
      </w:r>
    </w:p>
    <w:p>
      <w:pPr>
        <w:pStyle w:val="Normal"/>
        <w:bidi w:val="0"/>
        <w:jc w:val="left"/>
        <w:rPr/>
      </w:pPr>
      <w:r>
        <w:rPr/>
      </w:r>
    </w:p>
    <w:p>
      <w:pPr>
        <w:pStyle w:val="Normal"/>
        <w:bidi w:val="0"/>
        <w:jc w:val="left"/>
        <w:rPr/>
      </w:pPr>
      <w:r>
        <w:rPr/>
        <w:t>Programming Massively Parallel Processors: A Hands-on Approach by Wen-mei Hwu and David Kirk</w:t>
      </w:r>
    </w:p>
    <w:p>
      <w:pPr>
        <w:pStyle w:val="Normal"/>
        <w:bidi w:val="0"/>
        <w:jc w:val="left"/>
        <w:rPr/>
      </w:pPr>
      <w:r>
        <w:rPr/>
        <w:t>NVIDIA CUDA Toolkit Documentation.</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9621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9621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Answer: </w:t>
      </w:r>
      <w:r>
        <w:rPr>
          <w:b/>
          <w:bCs/>
        </w:rPr>
        <w:t>C</w:t>
      </w:r>
    </w:p>
    <w:p>
      <w:pPr>
        <w:pStyle w:val="Normal"/>
        <w:bidi w:val="0"/>
        <w:jc w:val="left"/>
        <w:rPr/>
      </w:pPr>
      <w:r>
        <w:rPr/>
      </w:r>
    </w:p>
    <w:p>
      <w:pPr>
        <w:pStyle w:val="Normal"/>
        <w:bidi w:val="0"/>
        <w:jc w:val="left"/>
        <w:rPr/>
      </w:pPr>
      <w:r>
        <w:rPr/>
        <w:t>The cudaMemcpy function takes in four arguments namely the destination memory address, the source memory address, the size in bytes to copy, and the type of transfer. For the scenario given in the question the values of the arguments are as follows. Hence the answer choice C.</w:t>
      </w:r>
    </w:p>
    <w:p>
      <w:pPr>
        <w:pStyle w:val="Normal"/>
        <w:bidi w:val="0"/>
        <w:jc w:val="left"/>
        <w:rPr/>
      </w:pPr>
      <w:r>
        <w:rPr/>
      </w:r>
    </w:p>
    <w:p>
      <w:pPr>
        <w:pStyle w:val="Normal"/>
        <w:bidi w:val="0"/>
        <w:jc w:val="left"/>
        <w:rPr/>
      </w:pPr>
      <w:r>
        <w:rPr/>
        <w:t>1. Destination memory address – d_A</w:t>
      </w:r>
    </w:p>
    <w:p>
      <w:pPr>
        <w:pStyle w:val="Normal"/>
        <w:bidi w:val="0"/>
        <w:jc w:val="left"/>
        <w:rPr/>
      </w:pPr>
      <w:r>
        <w:rPr/>
        <w:t>2. Source memory address – h_A</w:t>
      </w:r>
    </w:p>
    <w:p>
      <w:pPr>
        <w:pStyle w:val="Normal"/>
        <w:bidi w:val="0"/>
        <w:jc w:val="left"/>
        <w:rPr/>
      </w:pPr>
      <w:r>
        <w:rPr/>
        <w:t>3. Size in bytes to copy – 3000</w:t>
      </w:r>
    </w:p>
    <w:p>
      <w:pPr>
        <w:pStyle w:val="Normal"/>
        <w:bidi w:val="0"/>
        <w:jc w:val="left"/>
        <w:rPr/>
      </w:pPr>
      <w:r>
        <w:rPr/>
        <w:t>4. Type of transfer – cudaMemcpyHostToDevice</w:t>
      </w:r>
    </w:p>
    <w:p>
      <w:pPr>
        <w:pStyle w:val="Normal"/>
        <w:bidi w:val="0"/>
        <w:jc w:val="left"/>
        <w:rPr/>
      </w:pPr>
      <w:r>
        <w:rPr/>
      </w:r>
    </w:p>
    <w:p>
      <w:pPr>
        <w:pStyle w:val="Normal"/>
        <w:bidi w:val="0"/>
        <w:jc w:val="left"/>
        <w:rPr/>
      </w:pPr>
      <w:r>
        <w:rPr/>
        <w:t>Reference: Nvidia CUDA Toolkit Documentation</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4395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439545"/>
                    </a:xfrm>
                    <a:prstGeom prst="rect">
                      <a:avLst/>
                    </a:prstGeom>
                  </pic:spPr>
                </pic:pic>
              </a:graphicData>
            </a:graphic>
          </wp:anchor>
        </w:drawing>
      </w:r>
    </w:p>
    <w:p>
      <w:pPr>
        <w:pStyle w:val="Normal"/>
        <w:bidi w:val="0"/>
        <w:jc w:val="left"/>
        <w:rPr/>
      </w:pPr>
      <w:r>
        <w:rPr/>
      </w:r>
    </w:p>
    <w:p>
      <w:pPr>
        <w:pStyle w:val="Normal"/>
        <w:bidi w:val="0"/>
        <w:jc w:val="left"/>
        <w:rPr/>
      </w:pPr>
      <w:r>
        <w:rPr/>
        <w:t xml:space="preserve">Answer: </w:t>
      </w:r>
      <w:r>
        <w:rPr>
          <w:b/>
          <w:bCs/>
        </w:rPr>
        <w:t>C</w:t>
      </w:r>
    </w:p>
    <w:p>
      <w:pPr>
        <w:pStyle w:val="Normal"/>
        <w:bidi w:val="0"/>
        <w:jc w:val="left"/>
        <w:rPr/>
      </w:pPr>
      <w:r>
        <w:rPr/>
      </w:r>
    </w:p>
    <w:p>
      <w:pPr>
        <w:pStyle w:val="Normal"/>
        <w:bidi w:val="0"/>
        <w:jc w:val="left"/>
        <w:rPr/>
      </w:pPr>
      <w:r>
        <w:rPr/>
      </w:r>
    </w:p>
    <w:p>
      <w:pPr>
        <w:pStyle w:val="Normal"/>
        <w:bidi w:val="0"/>
        <w:jc w:val="left"/>
        <w:rPr/>
      </w:pPr>
      <w:r>
        <w:rPr/>
        <w:t>CUDA API calls have a return type of cudaError_t which is a typedef.</w:t>
      </w:r>
    </w:p>
    <w:p>
      <w:pPr>
        <w:pStyle w:val="Normal"/>
        <w:bidi w:val="0"/>
        <w:jc w:val="left"/>
        <w:rPr/>
      </w:pPr>
      <w:r>
        <w:rPr/>
      </w:r>
    </w:p>
    <w:p>
      <w:pPr>
        <w:pStyle w:val="Normal"/>
        <w:bidi w:val="0"/>
        <w:jc w:val="left"/>
        <w:rPr/>
      </w:pPr>
      <w:r>
        <w:rPr/>
        <w:t>typedef enumcudaError cudaError_t</w:t>
      </w:r>
    </w:p>
    <w:p>
      <w:pPr>
        <w:pStyle w:val="Normal"/>
        <w:bidi w:val="0"/>
        <w:jc w:val="left"/>
        <w:rPr/>
      </w:pPr>
      <w:r>
        <w:rPr/>
        <w:t>enum cudaError</w:t>
      </w:r>
    </w:p>
    <w:p>
      <w:pPr>
        <w:pStyle w:val="Normal"/>
        <w:bidi w:val="0"/>
        <w:jc w:val="left"/>
        <w:rPr/>
      </w:pPr>
      <w:r>
        <w:rPr/>
      </w:r>
    </w:p>
    <w:p>
      <w:pPr>
        <w:pStyle w:val="Normal"/>
        <w:bidi w:val="0"/>
        <w:jc w:val="left"/>
        <w:rPr/>
      </w:pPr>
      <w:r>
        <w:rPr/>
        <w:t>Reference: Nvidia CUDA Toolkit Documentation</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167640</wp:posOffset>
            </wp:positionV>
            <wp:extent cx="6120130" cy="975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975360"/>
                    </a:xfrm>
                    <a:prstGeom prst="rect">
                      <a:avLst/>
                    </a:prstGeom>
                  </pic:spPr>
                </pic:pic>
              </a:graphicData>
            </a:graphic>
          </wp:anchor>
        </w:drawing>
      </w:r>
    </w:p>
    <w:p>
      <w:pPr>
        <w:pStyle w:val="Normal"/>
        <w:bidi w:val="0"/>
        <w:jc w:val="left"/>
        <w:rPr/>
      </w:pPr>
      <w:r>
        <w:rPr/>
      </w:r>
    </w:p>
    <w:p>
      <w:pPr>
        <w:pStyle w:val="Normal"/>
        <w:bidi w:val="0"/>
        <w:jc w:val="left"/>
        <w:rPr>
          <w:b/>
          <w:b/>
          <w:bCs/>
        </w:rPr>
      </w:pPr>
      <w:r>
        <w:rPr>
          <w:b/>
          <w:bCs/>
        </w:rPr>
        <w:t>My response:</w:t>
      </w:r>
    </w:p>
    <w:p>
      <w:pPr>
        <w:pStyle w:val="Normal"/>
        <w:bidi w:val="0"/>
        <w:jc w:val="left"/>
        <w:rPr/>
      </w:pPr>
      <w:r>
        <w:rPr/>
      </w:r>
    </w:p>
    <w:p>
      <w:pPr>
        <w:pStyle w:val="Normal"/>
        <w:bidi w:val="0"/>
        <w:jc w:val="left"/>
        <w:rPr/>
      </w:pPr>
      <w:r>
        <w:rPr/>
        <w:t>The intern could use both “__host__” and “__device__” keywords in his function declarations. This combination tells the compiler to create two versions of object file, one to be executed on device and the other to be executed on host, for the same function.</w:t>
      </w:r>
    </w:p>
    <w:p>
      <w:pPr>
        <w:pStyle w:val="Normal"/>
        <w:bidi w:val="0"/>
        <w:jc w:val="left"/>
        <w:rPr/>
      </w:pPr>
      <w:r>
        <w:rPr/>
      </w:r>
    </w:p>
    <w:p>
      <w:pPr>
        <w:pStyle w:val="Normal"/>
        <w:bidi w:val="0"/>
        <w:jc w:val="left"/>
        <w:rPr/>
      </w:pPr>
      <w:r>
        <w:rPr/>
        <w:t>Reference:</w:t>
      </w:r>
    </w:p>
    <w:p>
      <w:pPr>
        <w:pStyle w:val="Normal"/>
        <w:bidi w:val="0"/>
        <w:jc w:val="left"/>
        <w:rPr/>
      </w:pPr>
      <w:r>
        <w:rPr/>
      </w:r>
    </w:p>
    <w:p>
      <w:pPr>
        <w:pStyle w:val="Normal"/>
        <w:bidi w:val="0"/>
        <w:jc w:val="left"/>
        <w:rPr/>
      </w:pPr>
      <w:r>
        <w:rPr/>
        <w:t>Programming Massively Parallel Processors: A Hands-on Approach by Wen-mei Hwu and David Kirk</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LibreOffice/6.4.6.2$Linux_X86_64 LibreOffice_project/40$Build-2</Application>
  <Pages>3</Pages>
  <Words>389</Words>
  <Characters>1915</Characters>
  <CharactersWithSpaces>2259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2021-02-18T09:41:41Z</dcterms:created>
  <dc:creator/>
  <dc:description/>
  <dc:language>en-IN</dc:language>
  <cp:lastModifiedBy/>
  <dcterms:modified xsi:type="dcterms:W3CDTF">2021-02-19T11:59:09Z</dcterms:modified>
  <cp:revision>5</cp:revision>
  <dc:subject/>
  <dc:title/>
</cp:coreProperties>
</file>