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pPr>
      <w:r>
        <w:rPr>
          <w:b/>
          <w:bCs/>
          <w:color w:val="B8860B"/>
          <w:sz w:val="44"/>
          <w:szCs w:val="44"/>
        </w:rPr>
        <w:t xml:space="preserve">SYNKROMIND</w:t>
      </w:r>
    </w:p>
    <w:p>
      <w:pPr>
        <w:spacing w:after="300"/>
      </w:pPr>
      <w:r>
        <w:rPr>
          <w:b/>
          <w:bCs/>
          <w:color w:val="1A1A1A"/>
          <w:sz w:val="32"/>
          <w:szCs w:val="32"/>
        </w:rPr>
        <w:t xml:space="preserve">Multi-Tenant White-Label Architecture</w:t>
      </w:r>
    </w:p>
    <w:p>
      <w:pPr>
        <w:spacing w:after="40"/>
      </w:pPr>
      <w:r>
        <w:rPr>
          <w:color w:val="555555"/>
          <w:sz w:val="22"/>
          <w:szCs w:val="22"/>
        </w:rPr>
        <w:t xml:space="preserve">Product: LogiSync — FTL/PTL Logistics Management Platform</w:t>
      </w:r>
    </w:p>
    <w:p>
      <w:pPr>
        <w:spacing w:after="40"/>
      </w:pPr>
      <w:r>
        <w:rPr>
          <w:color w:val="555555"/>
          <w:sz w:val="22"/>
          <w:szCs w:val="22"/>
        </w:rPr>
        <w:t xml:space="preserve">Document type: Technical Architecture — White-Label / Multi-Tenant SaaS</w:t>
      </w:r>
    </w:p>
    <w:p>
      <w:pPr>
        <w:spacing w:after="500"/>
      </w:pPr>
      <w:r>
        <w:rPr>
          <w:color w:val="555555"/>
          <w:sz w:val="20"/>
          <w:szCs w:val="20"/>
        </w:rPr>
        <w:t xml:space="preserve">Version 1.0 · 3 August 2026</w:t>
      </w:r>
    </w:p>
    <w:p>
      <w:pPr>
        <w:pStyle w:val="Heading1"/>
        <w:pBdr>
          <w:bottom w:val="single" w:color="B8860B" w:sz="8" w:space="4"/>
        </w:pBdr>
        <w:spacing w:after="160" w:before="360"/>
      </w:pPr>
      <w:r>
        <w:rPr>
          <w:b/>
          <w:bCs/>
          <w:color w:val="1A1A1A"/>
          <w:sz w:val="30"/>
          <w:szCs w:val="30"/>
        </w:rPr>
        <w:t xml:space="preserve">1. Purpose</w:t>
      </w:r>
    </w:p>
    <w:p>
      <w:pPr>
        <w:spacing w:after="140"/>
      </w:pPr>
      <w:r>
        <w:rPr>
          <w:color w:val="1A1A1A"/>
          <w:sz w:val="21"/>
          <w:szCs w:val="21"/>
        </w:rPr>
        <w:t xml:space="preserve">LogiSync is being productized so Synkromind can sell one codebase to many fleet-owner customers (10–50 truck SMBs), instead of running a single deployment for one business. This document defines the multi-tenant, white-label architecture that makes that possible: each customer gets their own branded, data-isolated instance of the app, while Synkromind retains a single platform to build, patch, and scale.</w:t>
      </w:r>
    </w:p>
    <w:p>
      <w:pPr>
        <w:spacing w:after="140"/>
      </w:pPr>
      <w:r>
        <w:rPr>
          <w:color w:val="1A1A1A"/>
          <w:sz w:val="21"/>
          <w:szCs w:val="21"/>
        </w:rPr>
        <w:t xml:space="preserve">Branding convention across the app: a small “Powered by Synkromind” mark in the footer (or login screen) on every tenant instance, with the customer's own business name and logo prominent in the header, dashboard, and any customer- or driver-facing document (LR, ePOD, invoice, etc.).</w:t>
      </w:r>
    </w:p>
    <w:p>
      <w:pPr>
        <w:pStyle w:val="Heading1"/>
        <w:pBdr>
          <w:bottom w:val="single" w:color="B8860B" w:sz="8" w:space="4"/>
        </w:pBdr>
        <w:spacing w:after="160" w:before="360"/>
      </w:pPr>
      <w:r>
        <w:rPr>
          <w:b/>
          <w:bCs/>
          <w:color w:val="1A1A1A"/>
          <w:sz w:val="30"/>
          <w:szCs w:val="30"/>
        </w:rPr>
        <w:t xml:space="preserve">2. Tenancy Model</w:t>
      </w:r>
    </w:p>
    <w:p>
      <w:pPr>
        <w:pStyle w:val="Heading2"/>
        <w:spacing w:after="120" w:before="260"/>
      </w:pPr>
      <w:r>
        <w:rPr>
          <w:b/>
          <w:bCs/>
          <w:color w:val="B8860B"/>
          <w:sz w:val="24"/>
          <w:szCs w:val="24"/>
        </w:rPr>
        <w:t xml:space="preserve">2.1 Data isolation strategy</w:t>
      </w:r>
    </w:p>
    <w:p>
      <w:pPr>
        <w:spacing w:after="140"/>
      </w:pPr>
      <w:r>
        <w:rPr>
          <w:color w:val="1A1A1A"/>
          <w:sz w:val="21"/>
          <w:szCs w:val="21"/>
        </w:rPr>
        <w:t xml:space="preserve">Recommended for the 10–50 truck SMB segment: shared database, shared schema, with a mandatory tenant_id column on every table (“pooled multi-tenancy”). This keeps hosting cost low and lets you onboard new customers in minutes. Reserve dedicated schema/DB-per-tenant only for larger accounts later (e.g. an enterprise fleet operator who demands data residency guarantees).</w:t>
      </w:r>
    </w:p>
    <w:p>
      <w:pPr>
        <w:pStyle w:val="ListParagraph"/>
        <w:numPr>
          <w:ilvl w:val="0"/>
          <w:numId w:val="2"/>
        </w:numPr>
        <w:spacing w:after="60"/>
      </w:pPr>
      <w:r>
        <w:rPr>
          <w:color w:val="1A1A1A"/>
          <w:sz w:val="21"/>
          <w:szCs w:val="21"/>
        </w:rPr>
        <w:t xml:space="preserve">Every table that stores business data (shipments, LRs, manifests, DRS, ePOD, GRN, invoices, ledger entries) carries tenant_id as a required, indexed foreign key.</w:t>
      </w:r>
    </w:p>
    <w:p>
      <w:pPr>
        <w:pStyle w:val="ListParagraph"/>
        <w:numPr>
          <w:ilvl w:val="0"/>
          <w:numId w:val="2"/>
        </w:numPr>
        <w:spacing w:after="60"/>
      </w:pPr>
      <w:r>
        <w:rPr>
          <w:color w:val="1A1A1A"/>
          <w:sz w:val="21"/>
          <w:szCs w:val="21"/>
        </w:rPr>
        <w:t xml:space="preserve">A single Postgres/MySQL row-level security (RLS) policy or an ORM-level middleware scopes every query automatically — developers should not be able to “forget” the tenant filter.</w:t>
      </w:r>
    </w:p>
    <w:p>
      <w:pPr>
        <w:pStyle w:val="ListParagraph"/>
        <w:numPr>
          <w:ilvl w:val="0"/>
          <w:numId w:val="2"/>
        </w:numPr>
        <w:spacing w:after="60"/>
      </w:pPr>
      <w:r>
        <w:rPr>
          <w:color w:val="1A1A1A"/>
          <w:sz w:val="21"/>
          <w:szCs w:val="21"/>
        </w:rPr>
        <w:t xml:space="preserve">Background jobs (e.g. Tally XML export, GST return prep, FASTag reconciliation) are queued per-tenant and must carry tenant_id in the job payload.</w:t>
      </w:r>
    </w:p>
    <w:p>
      <w:pPr>
        <w:pStyle w:val="Heading2"/>
        <w:spacing w:after="120" w:before="260"/>
      </w:pPr>
      <w:r>
        <w:rPr>
          <w:b/>
          <w:bCs/>
          <w:color w:val="B8860B"/>
          <w:sz w:val="24"/>
          <w:szCs w:val="24"/>
        </w:rPr>
        <w:t xml:space="preserve">2.2 Core tenant tables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400"/>
      </w:tblGrid>
      <w:tr>
        <w:tc>
          <w:tcPr>
            <w:tcW w:type="dxa" w:w="2200"/>
            <w:shd w:fill="B8860B" w:val="clear"/>
            <w:tcMar>
              <w:top w:type="dxa" w:w="80"/>
              <w:left w:type="dxa" w:w="120"/>
              <w:bottom w:type="dxa" w:w="80"/>
              <w:right w:type="dxa" w:w="120"/>
            </w:tcMar>
          </w:tcPr>
          <w:p>
            <w:r>
              <w:rPr>
                <w:b/>
                <w:bCs/>
                <w:color w:val="FFFFFF"/>
                <w:sz w:val="20"/>
                <w:szCs w:val="20"/>
              </w:rPr>
              <w:t xml:space="preserve">Table</w:t>
            </w:r>
          </w:p>
        </w:tc>
        <w:tc>
          <w:tcPr>
            <w:tcW w:type="dxa" w:w="4200"/>
            <w:shd w:fill="B8860B" w:val="clear"/>
            <w:tcMar>
              <w:top w:type="dxa" w:w="80"/>
              <w:left w:type="dxa" w:w="120"/>
              <w:bottom w:type="dxa" w:w="80"/>
              <w:right w:type="dxa" w:w="120"/>
            </w:tcMar>
          </w:tcPr>
          <w:p>
            <w:r>
              <w:rPr>
                <w:b/>
                <w:bCs/>
                <w:color w:val="FFFFFF"/>
                <w:sz w:val="20"/>
                <w:szCs w:val="20"/>
              </w:rPr>
              <w:t xml:space="preserve">Key Columns</w:t>
            </w:r>
          </w:p>
        </w:tc>
        <w:tc>
          <w:tcPr>
            <w:tcW w:type="dxa" w:w="3400"/>
            <w:shd w:fill="B8860B" w:val="clear"/>
            <w:tcMar>
              <w:top w:type="dxa" w:w="80"/>
              <w:left w:type="dxa" w:w="120"/>
              <w:bottom w:type="dxa" w:w="80"/>
              <w:right w:type="dxa" w:w="120"/>
            </w:tcMar>
          </w:tcPr>
          <w:p>
            <w:r>
              <w:rPr>
                <w:b/>
                <w:bCs/>
                <w:color w:val="FFFFFF"/>
                <w:sz w:val="20"/>
                <w:szCs w:val="20"/>
              </w:rPr>
              <w:t xml:space="preserve">Purpose</w:t>
            </w:r>
          </w:p>
        </w:tc>
      </w:tr>
      <w:tr>
        <w:tc>
          <w:tcPr>
            <w:tcW w:type="dxa" w:w="2200"/>
            <w:tcMar>
              <w:top w:type="dxa" w:w="80"/>
              <w:left w:type="dxa" w:w="120"/>
              <w:bottom w:type="dxa" w:w="80"/>
              <w:right w:type="dxa" w:w="120"/>
            </w:tcMar>
          </w:tcPr>
          <w:p>
            <w:r>
              <w:rPr>
                <w:b w:val="false"/>
                <w:bCs w:val="false"/>
                <w:color w:val="1A1A1A"/>
                <w:sz w:val="20"/>
                <w:szCs w:val="20"/>
              </w:rPr>
              <w:t xml:space="preserve">tenants</w:t>
            </w:r>
          </w:p>
        </w:tc>
        <w:tc>
          <w:tcPr>
            <w:tcW w:type="dxa" w:w="4200"/>
            <w:tcMar>
              <w:top w:type="dxa" w:w="80"/>
              <w:left w:type="dxa" w:w="120"/>
              <w:bottom w:type="dxa" w:w="80"/>
              <w:right w:type="dxa" w:w="120"/>
            </w:tcMar>
          </w:tcPr>
          <w:p>
            <w:r>
              <w:rPr>
                <w:b w:val="false"/>
                <w:bCs w:val="false"/>
                <w:color w:val="1A1A1A"/>
                <w:sz w:val="20"/>
                <w:szCs w:val="20"/>
              </w:rPr>
              <w:t xml:space="preserve">id, business_name, subdomain, custom_domain, logo_url, primary_color, plan_tier, status, created_at</w:t>
            </w:r>
          </w:p>
        </w:tc>
        <w:tc>
          <w:tcPr>
            <w:tcW w:type="dxa" w:w="3400"/>
            <w:tcMar>
              <w:top w:type="dxa" w:w="80"/>
              <w:left w:type="dxa" w:w="120"/>
              <w:bottom w:type="dxa" w:w="80"/>
              <w:right w:type="dxa" w:w="120"/>
            </w:tcMar>
          </w:tcPr>
          <w:p>
            <w:r>
              <w:rPr>
                <w:b w:val="false"/>
                <w:bCs w:val="false"/>
                <w:color w:val="1A1A1A"/>
                <w:sz w:val="20"/>
                <w:szCs w:val="20"/>
              </w:rPr>
              <w:t xml:space="preserve">One row per customer business</w:t>
            </w:r>
          </w:p>
        </w:tc>
      </w:tr>
      <w:tr>
        <w:tc>
          <w:tcPr>
            <w:tcW w:type="dxa" w:w="2200"/>
            <w:tcMar>
              <w:top w:type="dxa" w:w="80"/>
              <w:left w:type="dxa" w:w="120"/>
              <w:bottom w:type="dxa" w:w="80"/>
              <w:right w:type="dxa" w:w="120"/>
            </w:tcMar>
          </w:tcPr>
          <w:p>
            <w:r>
              <w:rPr>
                <w:b w:val="false"/>
                <w:bCs w:val="false"/>
                <w:color w:val="1A1A1A"/>
                <w:sz w:val="20"/>
                <w:szCs w:val="20"/>
              </w:rPr>
              <w:t xml:space="preserve">tenant_users</w:t>
            </w:r>
          </w:p>
        </w:tc>
        <w:tc>
          <w:tcPr>
            <w:tcW w:type="dxa" w:w="4200"/>
            <w:tcMar>
              <w:top w:type="dxa" w:w="80"/>
              <w:left w:type="dxa" w:w="120"/>
              <w:bottom w:type="dxa" w:w="80"/>
              <w:right w:type="dxa" w:w="120"/>
            </w:tcMar>
          </w:tcPr>
          <w:p>
            <w:r>
              <w:rPr>
                <w:b w:val="false"/>
                <w:bCs w:val="false"/>
                <w:color w:val="1A1A1A"/>
                <w:sz w:val="20"/>
                <w:szCs w:val="20"/>
              </w:rPr>
              <w:t xml:space="preserve">id, tenant_id, name, role, phone, email, password_hash</w:t>
            </w:r>
          </w:p>
        </w:tc>
        <w:tc>
          <w:tcPr>
            <w:tcW w:type="dxa" w:w="3400"/>
            <w:tcMar>
              <w:top w:type="dxa" w:w="80"/>
              <w:left w:type="dxa" w:w="120"/>
              <w:bottom w:type="dxa" w:w="80"/>
              <w:right w:type="dxa" w:w="120"/>
            </w:tcMar>
          </w:tcPr>
          <w:p>
            <w:r>
              <w:rPr>
                <w:b w:val="false"/>
                <w:bCs w:val="false"/>
                <w:color w:val="1A1A1A"/>
                <w:sz w:val="20"/>
                <w:szCs w:val="20"/>
              </w:rPr>
              <w:t xml:space="preserve">Users belonging to a tenant (owner, dispatcher, accountant)</w:t>
            </w:r>
          </w:p>
        </w:tc>
      </w:tr>
      <w:tr>
        <w:tc>
          <w:tcPr>
            <w:tcW w:type="dxa" w:w="2200"/>
            <w:tcMar>
              <w:top w:type="dxa" w:w="80"/>
              <w:left w:type="dxa" w:w="120"/>
              <w:bottom w:type="dxa" w:w="80"/>
              <w:right w:type="dxa" w:w="120"/>
            </w:tcMar>
          </w:tcPr>
          <w:p>
            <w:r>
              <w:rPr>
                <w:b w:val="false"/>
                <w:bCs w:val="false"/>
                <w:color w:val="1A1A1A"/>
                <w:sz w:val="20"/>
                <w:szCs w:val="20"/>
              </w:rPr>
              <w:t xml:space="preserve">tenant_settings</w:t>
            </w:r>
          </w:p>
        </w:tc>
        <w:tc>
          <w:tcPr>
            <w:tcW w:type="dxa" w:w="4200"/>
            <w:tcMar>
              <w:top w:type="dxa" w:w="80"/>
              <w:left w:type="dxa" w:w="120"/>
              <w:bottom w:type="dxa" w:w="80"/>
              <w:right w:type="dxa" w:w="120"/>
            </w:tcMar>
          </w:tcPr>
          <w:p>
            <w:r>
              <w:rPr>
                <w:b w:val="false"/>
                <w:bCs w:val="false"/>
                <w:color w:val="1A1A1A"/>
                <w:sz w:val="20"/>
                <w:szCs w:val="20"/>
              </w:rPr>
              <w:t xml:space="preserve">tenant_id, gstin, fastag_id, tally_export_enabled, wms_enabled, accounts_enabled</w:t>
            </w:r>
          </w:p>
        </w:tc>
        <w:tc>
          <w:tcPr>
            <w:tcW w:type="dxa" w:w="3400"/>
            <w:tcMar>
              <w:top w:type="dxa" w:w="80"/>
              <w:left w:type="dxa" w:w="120"/>
              <w:bottom w:type="dxa" w:w="80"/>
              <w:right w:type="dxa" w:w="120"/>
            </w:tcMar>
          </w:tcPr>
          <w:p>
            <w:r>
              <w:rPr>
                <w:b w:val="false"/>
                <w:bCs w:val="false"/>
                <w:color w:val="1A1A1A"/>
                <w:sz w:val="20"/>
                <w:szCs w:val="20"/>
              </w:rPr>
              <w:t xml:space="preserve">Per-tenant module toggles and compliance IDs</w:t>
            </w:r>
          </w:p>
        </w:tc>
      </w:tr>
      <w:tr>
        <w:tc>
          <w:tcPr>
            <w:tcW w:type="dxa" w:w="2200"/>
            <w:tcMar>
              <w:top w:type="dxa" w:w="80"/>
              <w:left w:type="dxa" w:w="120"/>
              <w:bottom w:type="dxa" w:w="80"/>
              <w:right w:type="dxa" w:w="120"/>
            </w:tcMar>
          </w:tcPr>
          <w:p>
            <w:r>
              <w:rPr>
                <w:b w:val="false"/>
                <w:bCs w:val="false"/>
                <w:color w:val="1A1A1A"/>
                <w:sz w:val="20"/>
                <w:szCs w:val="20"/>
              </w:rPr>
              <w:t xml:space="preserve">tenant_subscriptions</w:t>
            </w:r>
          </w:p>
        </w:tc>
        <w:tc>
          <w:tcPr>
            <w:tcW w:type="dxa" w:w="4200"/>
            <w:tcMar>
              <w:top w:type="dxa" w:w="80"/>
              <w:left w:type="dxa" w:w="120"/>
              <w:bottom w:type="dxa" w:w="80"/>
              <w:right w:type="dxa" w:w="120"/>
            </w:tcMar>
          </w:tcPr>
          <w:p>
            <w:r>
              <w:rPr>
                <w:b w:val="false"/>
                <w:bCs w:val="false"/>
                <w:color w:val="1A1A1A"/>
                <w:sz w:val="20"/>
                <w:szCs w:val="20"/>
              </w:rPr>
              <w:t xml:space="preserve">tenant_id, plan, billing_cycle, trucks_licensed, renewal_date, payment_gateway_ref</w:t>
            </w:r>
          </w:p>
        </w:tc>
        <w:tc>
          <w:tcPr>
            <w:tcW w:type="dxa" w:w="3400"/>
            <w:tcMar>
              <w:top w:type="dxa" w:w="80"/>
              <w:left w:type="dxa" w:w="120"/>
              <w:bottom w:type="dxa" w:w="80"/>
              <w:right w:type="dxa" w:w="120"/>
            </w:tcMar>
          </w:tcPr>
          <w:p>
            <w:r>
              <w:rPr>
                <w:b w:val="false"/>
                <w:bCs w:val="false"/>
                <w:color w:val="1A1A1A"/>
                <w:sz w:val="20"/>
                <w:szCs w:val="20"/>
              </w:rPr>
              <w:t xml:space="preserve">Subscription &amp; billing state</w:t>
            </w:r>
          </w:p>
        </w:tc>
      </w:tr>
    </w:tbl>
    <w:p>
      <w:pPr>
        <w:pStyle w:val="Heading1"/>
        <w:pBdr>
          <w:bottom w:val="single" w:color="B8860B" w:sz="8" w:space="4"/>
        </w:pBdr>
        <w:spacing w:after="160" w:before="360"/>
      </w:pPr>
      <w:r>
        <w:rPr>
          <w:b/>
          <w:bCs/>
          <w:color w:val="1A1A1A"/>
          <w:sz w:val="30"/>
          <w:szCs w:val="30"/>
        </w:rPr>
        <w:t xml:space="preserve">3. White-Label Branding Layer</w:t>
      </w:r>
    </w:p>
    <w:p>
      <w:pPr>
        <w:pStyle w:val="Heading2"/>
        <w:spacing w:after="120" w:before="260"/>
      </w:pPr>
      <w:r>
        <w:rPr>
          <w:b/>
          <w:bCs/>
          <w:color w:val="B8860B"/>
          <w:sz w:val="24"/>
          <w:szCs w:val="24"/>
        </w:rPr>
        <w:t xml:space="preserve">3.1 What gets branded per tenant</w:t>
      </w:r>
    </w:p>
    <w:p>
      <w:pPr>
        <w:pStyle w:val="ListParagraph"/>
        <w:numPr>
          <w:ilvl w:val="0"/>
          <w:numId w:val="2"/>
        </w:numPr>
        <w:spacing w:after="60"/>
      </w:pPr>
      <w:r>
        <w:rPr>
          <w:color w:val="1A1A1A"/>
          <w:sz w:val="21"/>
          <w:szCs w:val="21"/>
        </w:rPr>
        <w:t xml:space="preserve">Header / navbar logo and business name</w:t>
      </w:r>
    </w:p>
    <w:p>
      <w:pPr>
        <w:pStyle w:val="ListParagraph"/>
        <w:numPr>
          <w:ilvl w:val="0"/>
          <w:numId w:val="2"/>
        </w:numPr>
        <w:spacing w:after="60"/>
      </w:pPr>
      <w:r>
        <w:rPr>
          <w:color w:val="1A1A1A"/>
          <w:sz w:val="21"/>
          <w:szCs w:val="21"/>
        </w:rPr>
        <w:t xml:space="preserve">Login screen and email templates (“Welcome to [Business Name], powered by Synkromind”)</w:t>
      </w:r>
    </w:p>
    <w:p>
      <w:pPr>
        <w:pStyle w:val="ListParagraph"/>
        <w:numPr>
          <w:ilvl w:val="0"/>
          <w:numId w:val="2"/>
        </w:numPr>
        <w:spacing w:after="60"/>
      </w:pPr>
      <w:r>
        <w:rPr>
          <w:color w:val="1A1A1A"/>
          <w:sz w:val="21"/>
          <w:szCs w:val="21"/>
        </w:rPr>
        <w:t xml:space="preserve">Printable documents: LR, bilty, manifest, DRS, ePOD, GRN, invoices — tenant logo + GSTIN in the letterhead</w:t>
      </w:r>
    </w:p>
    <w:p>
      <w:pPr>
        <w:pStyle w:val="ListParagraph"/>
        <w:numPr>
          <w:ilvl w:val="0"/>
          <w:numId w:val="2"/>
        </w:numPr>
        <w:spacing w:after="60"/>
      </w:pPr>
      <w:r>
        <w:rPr>
          <w:color w:val="1A1A1A"/>
          <w:sz w:val="21"/>
          <w:szCs w:val="21"/>
        </w:rPr>
        <w:t xml:space="preserve">Accent color / theme (optional, stored as primary_color hex on the tenants table)</w:t>
      </w:r>
    </w:p>
    <w:p>
      <w:pPr>
        <w:pStyle w:val="Heading2"/>
        <w:spacing w:after="120" w:before="260"/>
      </w:pPr>
      <w:r>
        <w:rPr>
          <w:b/>
          <w:bCs/>
          <w:color w:val="B8860B"/>
          <w:sz w:val="24"/>
          <w:szCs w:val="24"/>
        </w:rPr>
        <w:t xml:space="preserve">3.2 What stays fixed as Synkromind's brand</w:t>
      </w:r>
    </w:p>
    <w:p>
      <w:pPr>
        <w:pStyle w:val="ListParagraph"/>
        <w:numPr>
          <w:ilvl w:val="0"/>
          <w:numId w:val="2"/>
        </w:numPr>
        <w:spacing w:after="60"/>
      </w:pPr>
      <w:r>
        <w:rPr>
          <w:color w:val="1A1A1A"/>
          <w:sz w:val="21"/>
          <w:szCs w:val="21"/>
        </w:rPr>
        <w:t xml:space="preserve">Small “Powered by Synkromind” text/logo in the footer of every screen and PDF export</w:t>
      </w:r>
    </w:p>
    <w:p>
      <w:pPr>
        <w:pStyle w:val="ListParagraph"/>
        <w:numPr>
          <w:ilvl w:val="0"/>
          <w:numId w:val="2"/>
        </w:numPr>
        <w:spacing w:after="60"/>
      </w:pPr>
      <w:r>
        <w:rPr>
          <w:color w:val="1A1A1A"/>
          <w:sz w:val="21"/>
          <w:szCs w:val="21"/>
        </w:rPr>
        <w:t xml:space="preserve">Support/help widget and terms-of-service links</w:t>
      </w:r>
    </w:p>
    <w:p>
      <w:pPr>
        <w:spacing w:after="140"/>
      </w:pPr>
      <w:r>
        <w:rPr>
          <w:color w:val="1A1A1A"/>
          <w:sz w:val="21"/>
          <w:szCs w:val="21"/>
        </w:rPr>
        <w:t xml:space="preserve">Implementation pattern: a BrandingProvider (React Context) loads the tenant's branding config once on login/subdomain resolution and injects it app-wide, so no component hardcodes a logo or name.</w:t>
      </w:r>
    </w:p>
    <w:p>
      <w:pPr>
        <w:shd w:fill="F2F2F2" w:val="clear"/>
        <w:spacing w:after="40"/>
      </w:pPr>
      <w:r>
        <w:rPr>
          <w:rFonts w:ascii="Consolas" w:cs="Consolas" w:eastAsia="Consolas" w:hAnsi="Consolas"/>
          <w:color w:val="222222"/>
          <w:sz w:val="19"/>
          <w:szCs w:val="19"/>
        </w:rPr>
        <w:t xml:space="preserve">// resolved once per session, from subdomain or JWT claim</w:t>
      </w:r>
    </w:p>
    <w:p>
      <w:pPr>
        <w:shd w:fill="F2F2F2" w:val="clear"/>
        <w:spacing w:after="40"/>
      </w:pPr>
      <w:r>
        <w:rPr>
          <w:rFonts w:ascii="Consolas" w:cs="Consolas" w:eastAsia="Consolas" w:hAnsi="Consolas"/>
          <w:color w:val="222222"/>
          <w:sz w:val="19"/>
          <w:szCs w:val="19"/>
        </w:rPr>
        <w:t xml:space="preserve">const { businessName, logoUrl, primaryColor } = useTenantBranding();</w:t>
      </w:r>
    </w:p>
    <w:p>
      <w:pPr>
        <w:shd w:fill="F2F2F2" w:val="clear"/>
        <w:spacing w:after="40"/>
      </w:pPr>
      <w:r>
        <w:rPr>
          <w:rFonts w:ascii="Consolas" w:cs="Consolas" w:eastAsia="Consolas" w:hAnsi="Consolas"/>
          <w:color w:val="222222"/>
          <w:sz w:val="19"/>
          <w:szCs w:val="19"/>
        </w:rPr>
        <w:t xml:space="preserve">&lt;Header logo={logoUrl} title={businessName} /&gt;</w:t>
      </w:r>
    </w:p>
    <w:p>
      <w:pPr>
        <w:shd w:fill="F2F2F2" w:val="clear"/>
        <w:spacing w:after="40"/>
      </w:pPr>
      <w:r>
        <w:rPr>
          <w:rFonts w:ascii="Consolas" w:cs="Consolas" w:eastAsia="Consolas" w:hAnsi="Consolas"/>
          <w:color w:val="222222"/>
          <w:sz w:val="19"/>
          <w:szCs w:val="19"/>
        </w:rPr>
        <w:t xml:space="preserve">&lt;Footer&gt;Powered by Synkromind&lt;/Footer&gt;</w:t>
      </w:r>
    </w:p>
    <w:p>
      <w:pPr>
        <w:pStyle w:val="Heading1"/>
        <w:pBdr>
          <w:bottom w:val="single" w:color="B8860B" w:sz="8" w:space="4"/>
        </w:pBdr>
        <w:spacing w:after="160" w:before="360"/>
      </w:pPr>
      <w:r>
        <w:rPr>
          <w:b/>
          <w:bCs/>
          <w:color w:val="1A1A1A"/>
          <w:sz w:val="30"/>
          <w:szCs w:val="30"/>
        </w:rPr>
        <w:t xml:space="preserve">4. Tenant Resolution &amp; Routing</w:t>
      </w:r>
    </w:p>
    <w:p>
      <w:pPr>
        <w:spacing w:after="140"/>
      </w:pPr>
      <w:r>
        <w:rPr>
          <w:color w:val="1A1A1A"/>
          <w:sz w:val="21"/>
          <w:szCs w:val="21"/>
        </w:rPr>
        <w:t xml:space="preserve">Two supported patterns — pick one as default, offer the other for premium plans: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00"/>
      </w:tblGrid>
      <w:tr>
        <w:tc>
          <w:tcPr>
            <w:tcW w:type="dxa" w:w="2600"/>
            <w:shd w:fill="B8860B" w:val="clear"/>
            <w:tcMar>
              <w:top w:type="dxa" w:w="80"/>
              <w:left w:type="dxa" w:w="120"/>
              <w:bottom w:type="dxa" w:w="80"/>
              <w:right w:type="dxa" w:w="120"/>
            </w:tcMar>
          </w:tcPr>
          <w:p>
            <w:r>
              <w:rPr>
                <w:b/>
                <w:bCs/>
                <w:color w:val="FFFFFF"/>
                <w:sz w:val="20"/>
                <w:szCs w:val="20"/>
              </w:rPr>
              <w:t xml:space="preserve">Pattern</w:t>
            </w:r>
          </w:p>
        </w:tc>
        <w:tc>
          <w:tcPr>
            <w:tcW w:type="dxa" w:w="3400"/>
            <w:shd w:fill="B8860B" w:val="clear"/>
            <w:tcMar>
              <w:top w:type="dxa" w:w="80"/>
              <w:left w:type="dxa" w:w="120"/>
              <w:bottom w:type="dxa" w:w="80"/>
              <w:right w:type="dxa" w:w="120"/>
            </w:tcMar>
          </w:tcPr>
          <w:p>
            <w:r>
              <w:rPr>
                <w:b/>
                <w:bCs/>
                <w:color w:val="FFFFFF"/>
                <w:sz w:val="20"/>
                <w:szCs w:val="20"/>
              </w:rPr>
              <w:t xml:space="preserve">Example</w:t>
            </w:r>
          </w:p>
        </w:tc>
        <w:tc>
          <w:tcPr>
            <w:tcW w:type="dxa" w:w="3800"/>
            <w:shd w:fill="B8860B" w:val="clear"/>
            <w:tcMar>
              <w:top w:type="dxa" w:w="80"/>
              <w:left w:type="dxa" w:w="120"/>
              <w:bottom w:type="dxa" w:w="80"/>
              <w:right w:type="dxa" w:w="120"/>
            </w:tcMar>
          </w:tcPr>
          <w:p>
            <w:r>
              <w:rPr>
                <w:b/>
                <w:bCs/>
                <w:color w:val="FFFFFF"/>
                <w:sz w:val="20"/>
                <w:szCs w:val="20"/>
              </w:rPr>
              <w:t xml:space="preserve">Notes</w:t>
            </w:r>
          </w:p>
        </w:tc>
      </w:tr>
      <w:tr>
        <w:tc>
          <w:tcPr>
            <w:tcW w:type="dxa" w:w="2600"/>
            <w:tcMar>
              <w:top w:type="dxa" w:w="80"/>
              <w:left w:type="dxa" w:w="120"/>
              <w:bottom w:type="dxa" w:w="80"/>
              <w:right w:type="dxa" w:w="120"/>
            </w:tcMar>
          </w:tcPr>
          <w:p>
            <w:r>
              <w:rPr>
                <w:b w:val="false"/>
                <w:bCs w:val="false"/>
                <w:color w:val="1A1A1A"/>
                <w:sz w:val="20"/>
                <w:szCs w:val="20"/>
              </w:rPr>
              <w:t xml:space="preserve">Subdomain per tenant</w:t>
            </w:r>
          </w:p>
        </w:tc>
        <w:tc>
          <w:tcPr>
            <w:tcW w:type="dxa" w:w="3400"/>
            <w:tcMar>
              <w:top w:type="dxa" w:w="80"/>
              <w:left w:type="dxa" w:w="120"/>
              <w:bottom w:type="dxa" w:w="80"/>
              <w:right w:type="dxa" w:w="120"/>
            </w:tcMar>
          </w:tcPr>
          <w:p>
            <w:r>
              <w:rPr>
                <w:b w:val="false"/>
                <w:bCs w:val="false"/>
                <w:color w:val="1A1A1A"/>
                <w:sz w:val="20"/>
                <w:szCs w:val="20"/>
              </w:rPr>
              <w:t xml:space="preserve">sharmatransport.logisync.app</w:t>
            </w:r>
          </w:p>
        </w:tc>
        <w:tc>
          <w:tcPr>
            <w:tcW w:type="dxa" w:w="3800"/>
            <w:tcMar>
              <w:top w:type="dxa" w:w="80"/>
              <w:left w:type="dxa" w:w="120"/>
              <w:bottom w:type="dxa" w:w="80"/>
              <w:right w:type="dxa" w:w="120"/>
            </w:tcMar>
          </w:tcPr>
          <w:p>
            <w:r>
              <w:rPr>
                <w:b w:val="false"/>
                <w:bCs w:val="false"/>
                <w:color w:val="1A1A1A"/>
                <w:sz w:val="20"/>
                <w:szCs w:val="20"/>
              </w:rPr>
              <w:t xml:space="preserve">Default for all SMB customers. Fast to provision, no DNS work needed from the customer.</w:t>
            </w:r>
          </w:p>
        </w:tc>
      </w:tr>
      <w:tr>
        <w:tc>
          <w:tcPr>
            <w:tcW w:type="dxa" w:w="2600"/>
            <w:tcMar>
              <w:top w:type="dxa" w:w="80"/>
              <w:left w:type="dxa" w:w="120"/>
              <w:bottom w:type="dxa" w:w="80"/>
              <w:right w:type="dxa" w:w="120"/>
            </w:tcMar>
          </w:tcPr>
          <w:p>
            <w:r>
              <w:rPr>
                <w:b w:val="false"/>
                <w:bCs w:val="false"/>
                <w:color w:val="1A1A1A"/>
                <w:sz w:val="20"/>
                <w:szCs w:val="20"/>
              </w:rPr>
              <w:t xml:space="preserve">Custom domain</w:t>
            </w:r>
          </w:p>
        </w:tc>
        <w:tc>
          <w:tcPr>
            <w:tcW w:type="dxa" w:w="3400"/>
            <w:tcMar>
              <w:top w:type="dxa" w:w="80"/>
              <w:left w:type="dxa" w:w="120"/>
              <w:bottom w:type="dxa" w:w="80"/>
              <w:right w:type="dxa" w:w="120"/>
            </w:tcMar>
          </w:tcPr>
          <w:p>
            <w:r>
              <w:rPr>
                <w:b w:val="false"/>
                <w:bCs w:val="false"/>
                <w:color w:val="1A1A1A"/>
                <w:sz w:val="20"/>
                <w:szCs w:val="20"/>
              </w:rPr>
              <w:t xml:space="preserve">app.sharmatransport.in</w:t>
            </w:r>
          </w:p>
        </w:tc>
        <w:tc>
          <w:tcPr>
            <w:tcW w:type="dxa" w:w="3800"/>
            <w:tcMar>
              <w:top w:type="dxa" w:w="80"/>
              <w:left w:type="dxa" w:w="120"/>
              <w:bottom w:type="dxa" w:w="80"/>
              <w:right w:type="dxa" w:w="120"/>
            </w:tcMar>
          </w:tcPr>
          <w:p>
            <w:r>
              <w:rPr>
                <w:b w:val="false"/>
                <w:bCs w:val="false"/>
                <w:color w:val="1A1A1A"/>
                <w:sz w:val="20"/>
                <w:szCs w:val="20"/>
              </w:rPr>
              <w:t xml:space="preserve">Offered on higher-tier plans. Customer points a CNAME to Synkromind's load balancer; TLS via wildcard cert or Let's Encrypt automation.</w:t>
            </w:r>
          </w:p>
        </w:tc>
      </w:tr>
    </w:tbl>
    <w:p>
      <w:pPr>
        <w:spacing w:after="140"/>
      </w:pPr>
      <w:r>
        <w:rPr>
          <w:color w:val="1A1A1A"/>
          <w:sz w:val="21"/>
          <w:szCs w:val="21"/>
        </w:rPr>
        <w:t xml:space="preserve">At request time, an edge middleware resolves the host header to a tenant_id, attaches it to the request context, and every downstream service (API, jobs, exports) trusts that context — never a client-supplied tenant_id in the request body.</w:t>
      </w:r>
    </w:p>
    <w:p>
      <w:pPr>
        <w:pStyle w:val="Heading1"/>
        <w:pBdr>
          <w:bottom w:val="single" w:color="B8860B" w:sz="8" w:space="4"/>
        </w:pBdr>
        <w:spacing w:after="160" w:before="360"/>
      </w:pPr>
      <w:r>
        <w:rPr>
          <w:b/>
          <w:bCs/>
          <w:color w:val="1A1A1A"/>
          <w:sz w:val="30"/>
          <w:szCs w:val="30"/>
        </w:rPr>
        <w:t xml:space="preserve">5. Onboarding Flow (new customer → live tenant)</w:t>
      </w:r>
    </w:p>
    <w:p>
      <w:pPr>
        <w:pStyle w:val="ListParagraph"/>
        <w:numPr>
          <w:ilvl w:val="0"/>
          <w:numId w:val="2"/>
        </w:numPr>
        <w:spacing w:after="60"/>
      </w:pPr>
      <w:r>
        <w:rPr>
          <w:color w:val="1A1A1A"/>
          <w:sz w:val="21"/>
          <w:szCs w:val="21"/>
        </w:rPr>
        <w:t xml:space="preserve">1. Sales/trial signup captures business name, GSTIN, fleet size (10–50 trucks), and chosen modules (core FTL/PTL, +WMS, +Accounts).</w:t>
      </w:r>
    </w:p>
    <w:p>
      <w:pPr>
        <w:pStyle w:val="ListParagraph"/>
        <w:numPr>
          <w:ilvl w:val="0"/>
          <w:numId w:val="2"/>
        </w:numPr>
        <w:spacing w:after="60"/>
      </w:pPr>
      <w:r>
        <w:rPr>
          <w:color w:val="1A1A1A"/>
          <w:sz w:val="21"/>
          <w:szCs w:val="21"/>
        </w:rPr>
        <w:t xml:space="preserve">2. System provisions a tenants row, default subdomain, and seeds tenant_settings with sensible defaults.</w:t>
      </w:r>
    </w:p>
    <w:p>
      <w:pPr>
        <w:pStyle w:val="ListParagraph"/>
        <w:numPr>
          <w:ilvl w:val="0"/>
          <w:numId w:val="2"/>
        </w:numPr>
        <w:spacing w:after="60"/>
      </w:pPr>
      <w:r>
        <w:rPr>
          <w:color w:val="1A1A1A"/>
          <w:sz w:val="21"/>
          <w:szCs w:val="21"/>
        </w:rPr>
        <w:t xml:space="preserve">3. Customer uploads logo + picks accent color (or skips — Synkromind default theme applies).</w:t>
      </w:r>
    </w:p>
    <w:p>
      <w:pPr>
        <w:pStyle w:val="ListParagraph"/>
        <w:numPr>
          <w:ilvl w:val="0"/>
          <w:numId w:val="2"/>
        </w:numPr>
        <w:spacing w:after="60"/>
      </w:pPr>
      <w:r>
        <w:rPr>
          <w:color w:val="1A1A1A"/>
          <w:sz w:val="21"/>
          <w:szCs w:val="21"/>
        </w:rPr>
        <w:t xml:space="preserve">4. Owner invites dispatchers/accountants as tenant_users with role-based access.</w:t>
      </w:r>
    </w:p>
    <w:p>
      <w:pPr>
        <w:pStyle w:val="ListParagraph"/>
        <w:numPr>
          <w:ilvl w:val="0"/>
          <w:numId w:val="2"/>
        </w:numPr>
        <w:spacing w:after="60"/>
      </w:pPr>
      <w:r>
        <w:rPr>
          <w:color w:val="1A1A1A"/>
          <w:sz w:val="21"/>
          <w:szCs w:val="21"/>
        </w:rPr>
        <w:t xml:space="preserve">5. Trial period (e.g. 14–30 days) auto-converts to a paid tenant_subscriptions row on payment, or the tenant is soft-locked (read-only) if not converted.</w:t>
      </w:r>
    </w:p>
    <w:p>
      <w:pPr>
        <w:pStyle w:val="Heading1"/>
        <w:pBdr>
          <w:bottom w:val="single" w:color="B8860B" w:sz="8" w:space="4"/>
        </w:pBdr>
        <w:spacing w:after="160" w:before="360"/>
      </w:pPr>
      <w:r>
        <w:rPr>
          <w:b/>
          <w:bCs/>
          <w:color w:val="1A1A1A"/>
          <w:sz w:val="30"/>
          <w:szCs w:val="30"/>
        </w:rPr>
        <w:t xml:space="preserve">6. Module &amp; Plan Gating</w:t>
      </w:r>
    </w:p>
    <w:p>
      <w:pPr>
        <w:spacing w:after="140"/>
      </w:pPr>
      <w:r>
        <w:rPr>
          <w:color w:val="1A1A1A"/>
          <w:sz w:val="21"/>
          <w:szCs w:val="21"/>
        </w:rPr>
        <w:t xml:space="preserve">Since the BSAR already spans 14+ modules plus the newer WMS and Accounts modules (added in response to Aerosol E-Transport's ERP), gate each module behind tenant_settings flags rather than shipping separate builds:</w:t>
      </w:r>
    </w:p>
    <w:p>
      <w:pPr>
        <w:pStyle w:val="ListParagraph"/>
        <w:numPr>
          <w:ilvl w:val="0"/>
          <w:numId w:val="2"/>
        </w:numPr>
        <w:spacing w:after="60"/>
      </w:pPr>
      <w:r>
        <w:rPr>
          <w:color w:val="1A1A1A"/>
          <w:sz w:val="21"/>
          <w:szCs w:val="21"/>
        </w:rPr>
        <w:t xml:space="preserve">Core (always on): LR/bilty creation, manifest, DRS, ePOD, GST-ready invoicing, FASTag reconciliation</w:t>
      </w:r>
    </w:p>
    <w:p>
      <w:pPr>
        <w:pStyle w:val="ListParagraph"/>
        <w:numPr>
          <w:ilvl w:val="0"/>
          <w:numId w:val="2"/>
        </w:numPr>
        <w:spacing w:after="60"/>
      </w:pPr>
      <w:r>
        <w:rPr>
          <w:color w:val="1A1A1A"/>
          <w:sz w:val="21"/>
          <w:szCs w:val="21"/>
        </w:rPr>
        <w:t xml:space="preserve">Add-on: Warehouse Management (WMS) — GRN, put-away, stock ledger</w:t>
      </w:r>
    </w:p>
    <w:p>
      <w:pPr>
        <w:pStyle w:val="ListParagraph"/>
        <w:numPr>
          <w:ilvl w:val="0"/>
          <w:numId w:val="2"/>
        </w:numPr>
        <w:spacing w:after="60"/>
      </w:pPr>
      <w:r>
        <w:rPr>
          <w:color w:val="1A1A1A"/>
          <w:sz w:val="21"/>
          <w:szCs w:val="21"/>
        </w:rPr>
        <w:t xml:space="preserve">Add-on: Accounts Management — ledgers, Tally XML export, reconciliation</w:t>
      </w:r>
    </w:p>
    <w:p>
      <w:pPr>
        <w:spacing w:after="140"/>
      </w:pPr>
      <w:r>
        <w:rPr>
          <w:color w:val="1A1A1A"/>
          <w:sz w:val="21"/>
          <w:szCs w:val="21"/>
        </w:rPr>
        <w:t xml:space="preserve">The frontend reads enabled modules from tenant_settings at login and hides/shows nav items and routes accordingly; the API layer independently re-checks the flag on every module-scoped endpoint (never trust the frontend alone).</w:t>
      </w:r>
    </w:p>
    <w:p>
      <w:pPr>
        <w:pStyle w:val="Heading1"/>
        <w:pBdr>
          <w:bottom w:val="single" w:color="B8860B" w:sz="8" w:space="4"/>
        </w:pBdr>
        <w:spacing w:after="160" w:before="360"/>
      </w:pPr>
      <w:r>
        <w:rPr>
          <w:b/>
          <w:bCs/>
          <w:color w:val="1A1A1A"/>
          <w:sz w:val="30"/>
          <w:szCs w:val="30"/>
        </w:rPr>
        <w:t xml:space="preserve">7. Security &amp; Compliance Notes</w:t>
      </w:r>
    </w:p>
    <w:p>
      <w:pPr>
        <w:pStyle w:val="ListParagraph"/>
        <w:numPr>
          <w:ilvl w:val="0"/>
          <w:numId w:val="2"/>
        </w:numPr>
        <w:spacing w:after="60"/>
      </w:pPr>
      <w:r>
        <w:rPr>
          <w:color w:val="1A1A1A"/>
          <w:sz w:val="21"/>
          <w:szCs w:val="21"/>
        </w:rPr>
        <w:t xml:space="preserve">Enforce tenant_id scoping at the database layer (RLS or ORM middleware), not just in application code — this is the single most important control against cross-tenant data leaks.</w:t>
      </w:r>
    </w:p>
    <w:p>
      <w:pPr>
        <w:pStyle w:val="ListParagraph"/>
        <w:numPr>
          <w:ilvl w:val="0"/>
          <w:numId w:val="2"/>
        </w:numPr>
        <w:spacing w:after="60"/>
      </w:pPr>
      <w:r>
        <w:rPr>
          <w:color w:val="1A1A1A"/>
          <w:sz w:val="21"/>
          <w:szCs w:val="21"/>
        </w:rPr>
        <w:t xml:space="preserve">Encrypt GSTIN, bank/ledger details, and FASTag credentials at rest.</w:t>
      </w:r>
    </w:p>
    <w:p>
      <w:pPr>
        <w:pStyle w:val="ListParagraph"/>
        <w:numPr>
          <w:ilvl w:val="0"/>
          <w:numId w:val="2"/>
        </w:numPr>
        <w:spacing w:after="60"/>
      </w:pPr>
      <w:r>
        <w:rPr>
          <w:color w:val="1A1A1A"/>
          <w:sz w:val="21"/>
          <w:szCs w:val="21"/>
        </w:rPr>
        <w:t xml:space="preserve">Audit-log any cross-tenant admin access (Synkromind support staff impersonating a tenant for support) with a visible “support session active” banner.</w:t>
      </w:r>
    </w:p>
    <w:p>
      <w:pPr>
        <w:pStyle w:val="ListParagraph"/>
        <w:numPr>
          <w:ilvl w:val="0"/>
          <w:numId w:val="2"/>
        </w:numPr>
        <w:spacing w:after="60"/>
      </w:pPr>
      <w:r>
        <w:rPr>
          <w:color w:val="1A1A1A"/>
          <w:sz w:val="21"/>
          <w:szCs w:val="21"/>
        </w:rPr>
        <w:t xml:space="preserve">Rate-limit and isolate background export jobs (Tally XML, GST) per tenant so one customer's large export can't slow down another's.</w:t>
      </w:r>
    </w:p>
    <w:p>
      <w:pPr>
        <w:pStyle w:val="Heading1"/>
        <w:pBdr>
          <w:bottom w:val="single" w:color="B8860B" w:sz="8" w:space="4"/>
        </w:pBdr>
        <w:spacing w:after="160" w:before="360"/>
      </w:pPr>
      <w:r>
        <w:rPr>
          <w:b/>
          <w:bCs/>
          <w:color w:val="1A1A1A"/>
          <w:sz w:val="30"/>
          <w:szCs w:val="30"/>
        </w:rPr>
        <w:t xml:space="preserve">8. Rollout Recommendation</w:t>
      </w:r>
    </w:p>
    <w:p>
      <w:pPr>
        <w:spacing w:after="140"/>
      </w:pPr>
      <w:r>
        <w:rPr>
          <w:color w:val="1A1A1A"/>
          <w:sz w:val="21"/>
          <w:szCs w:val="21"/>
        </w:rPr>
        <w:t xml:space="preserve">Given the current codebase snag (local npm ENOENT in chetak/logisync) suggests you're mid-build on core modules — the pragmatic sequence is: (1) finish core single-tenant functionality end-to-end, (2) retrofit tenant_id + RLS across existing tables, (3) add the BrandingProvider and subdomain routing, (4) build the self-serve onboarding flow last, once the first 2–3 pilot customers have been onboarded manually to validate the data model.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2026-08-03T06:14:01.975Z</dcterms:created>
  <dcterms:modified xsi:type="dcterms:W3CDTF">2026-08-03T06:14:01.975Z</dcterms:modified>
</cp:coreProperties>
</file>

<file path=docProps/custom.xml><?xml version="1.0" encoding="utf-8"?>
<Properties xmlns="http://schemas.openxmlformats.org/officeDocument/2006/custom-properties" xmlns:vt="http://schemas.openxmlformats.org/officeDocument/2006/docPropsVTypes"/>
</file>