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83C8" w14:textId="646B882F" w:rsidR="008E2067" w:rsidRPr="00D836ED" w:rsidRDefault="00D836ED" w:rsidP="00D836ED">
      <w:pPr>
        <w:jc w:val="center"/>
        <w:rPr>
          <w:lang w:val="en-US"/>
        </w:rPr>
      </w:pPr>
      <w:r>
        <w:rPr>
          <w:lang w:val="en-US"/>
        </w:rPr>
        <w:t>Appendix 1</w:t>
      </w:r>
    </w:p>
    <w:p w14:paraId="3131CF29" w14:textId="1DB3AD02" w:rsidR="008E2067" w:rsidRPr="00E80987" w:rsidRDefault="00CE79D5" w:rsidP="007E1870">
      <w:pPr>
        <w:jc w:val="center"/>
        <w:rPr>
          <w:b/>
          <w:bCs/>
          <w:lang w:val="en-US"/>
        </w:rPr>
      </w:pPr>
      <w:r w:rsidRPr="00E80987">
        <w:rPr>
          <w:b/>
          <w:bCs/>
          <w:lang w:val="en-US"/>
        </w:rPr>
        <w:t>EBLICT products and resources</w:t>
      </w:r>
      <w:r w:rsidR="007E1870" w:rsidRPr="00E80987">
        <w:rPr>
          <w:b/>
          <w:bCs/>
          <w:lang w:val="en-US"/>
        </w:rPr>
        <w:t xml:space="preserve"> </w:t>
      </w:r>
      <w:r w:rsidRPr="00E80987">
        <w:rPr>
          <w:b/>
          <w:bCs/>
          <w:lang w:val="en-US"/>
        </w:rPr>
        <w:t>Us</w:t>
      </w:r>
      <w:r w:rsidR="007E1870" w:rsidRPr="00E80987">
        <w:rPr>
          <w:b/>
          <w:bCs/>
          <w:lang w:val="en-US"/>
        </w:rPr>
        <w:t>ing</w:t>
      </w:r>
      <w:r w:rsidRPr="00E80987">
        <w:rPr>
          <w:b/>
          <w:bCs/>
          <w:lang w:val="en-US"/>
        </w:rPr>
        <w:t xml:space="preserve"> </w:t>
      </w:r>
      <w:r w:rsidR="00E80987" w:rsidRPr="00E80987">
        <w:rPr>
          <w:b/>
          <w:bCs/>
          <w:lang w:val="en-US"/>
        </w:rPr>
        <w:t>Guideline</w:t>
      </w:r>
    </w:p>
    <w:p w14:paraId="491DF311" w14:textId="7821873B" w:rsidR="008E2067" w:rsidRPr="00DD6BD2" w:rsidRDefault="008E2067" w:rsidP="00DD6BD2">
      <w:pPr>
        <w:pStyle w:val="ListParagraph"/>
        <w:numPr>
          <w:ilvl w:val="0"/>
          <w:numId w:val="3"/>
        </w:numPr>
        <w:rPr>
          <w:lang w:val="en-US"/>
        </w:rPr>
      </w:pPr>
      <w:r w:rsidRPr="00E80987">
        <w:rPr>
          <w:lang w:val="en-US"/>
        </w:rPr>
        <w:t xml:space="preserve">Any developed products and resources such as software, AI models, Datasets, technical documents, and audio-visuals must be the sole property of BCC, ICT Division. BCC reserves the right to distribute the products and resources and thus execute any listenership. </w:t>
      </w:r>
    </w:p>
    <w:p w14:paraId="3279E341" w14:textId="78964AB2" w:rsidR="008E2067" w:rsidRPr="00DD6BD2" w:rsidRDefault="008E2067" w:rsidP="00DD6BD2">
      <w:pPr>
        <w:pStyle w:val="ListParagraph"/>
        <w:numPr>
          <w:ilvl w:val="0"/>
          <w:numId w:val="3"/>
        </w:numPr>
        <w:rPr>
          <w:lang w:val="en-US"/>
        </w:rPr>
      </w:pPr>
      <w:r w:rsidRPr="00E80987">
        <w:rPr>
          <w:lang w:val="en-US"/>
        </w:rPr>
        <w:t xml:space="preserve">Initially, license-defining rights are assigned to the EBLICT project and after completion of the project, these will be transferred to BCC. </w:t>
      </w:r>
      <w:r w:rsidR="00C161D6" w:rsidRPr="00E80987">
        <w:rPr>
          <w:lang w:val="en-US"/>
        </w:rPr>
        <w:t>Currently, all decisions will be taken by EC of Project and after completion, it will be performed by a committee formed by ED, BCC.</w:t>
      </w:r>
    </w:p>
    <w:p w14:paraId="397DD8ED" w14:textId="65252BDC" w:rsidR="00C161D6" w:rsidRPr="00E80987" w:rsidRDefault="00C161D6" w:rsidP="00E80987">
      <w:pPr>
        <w:pStyle w:val="ListParagraph"/>
        <w:numPr>
          <w:ilvl w:val="0"/>
          <w:numId w:val="3"/>
        </w:numPr>
        <w:rPr>
          <w:lang w:val="en-US"/>
        </w:rPr>
      </w:pPr>
      <w:r w:rsidRPr="00E80987">
        <w:rPr>
          <w:lang w:val="en-US"/>
        </w:rPr>
        <w:t xml:space="preserve">If any external party </w:t>
      </w:r>
      <w:r w:rsidR="00E80987" w:rsidRPr="00E80987">
        <w:rPr>
          <w:lang w:val="en-US"/>
        </w:rPr>
        <w:t>requests</w:t>
      </w:r>
      <w:r w:rsidR="00CE79D5" w:rsidRPr="00E80987">
        <w:rPr>
          <w:lang w:val="en-US"/>
        </w:rPr>
        <w:t xml:space="preserve"> </w:t>
      </w:r>
      <w:r w:rsidRPr="00E80987">
        <w:rPr>
          <w:lang w:val="en-US"/>
        </w:rPr>
        <w:t xml:space="preserve">to use the EBLICT product/service, dataset, or any other resources they must use branding icons and </w:t>
      </w:r>
      <w:r w:rsidR="00CE79D5" w:rsidRPr="00E80987">
        <w:rPr>
          <w:lang w:val="en-US"/>
        </w:rPr>
        <w:t>acknowledgment notes mentioning EBLICT (</w:t>
      </w:r>
      <w:hyperlink r:id="rId5" w:history="1">
        <w:r w:rsidR="00CE79D5" w:rsidRPr="00E80987">
          <w:rPr>
            <w:rStyle w:val="Hyperlink"/>
            <w:lang w:val="en-US"/>
          </w:rPr>
          <w:t>www.bangla.gov.bd</w:t>
        </w:r>
      </w:hyperlink>
      <w:r w:rsidR="00CE79D5" w:rsidRPr="00E80987">
        <w:rPr>
          <w:lang w:val="en-US"/>
        </w:rPr>
        <w:t>), BCC (</w:t>
      </w:r>
      <w:hyperlink r:id="rId6" w:history="1">
        <w:r w:rsidR="00CE79D5" w:rsidRPr="00E80987">
          <w:rPr>
            <w:rStyle w:val="Hyperlink"/>
            <w:lang w:val="en-US"/>
          </w:rPr>
          <w:t>www.bcc.gov.bd</w:t>
        </w:r>
      </w:hyperlink>
      <w:r w:rsidR="00CE79D5" w:rsidRPr="00E80987">
        <w:rPr>
          <w:lang w:val="en-US"/>
        </w:rPr>
        <w:t>). However, for a specific purpose, the following conditions should be fulfilled:</w:t>
      </w:r>
    </w:p>
    <w:p w14:paraId="65D989C3" w14:textId="1603270C" w:rsidR="00CE79D5" w:rsidRDefault="00CE79D5" w:rsidP="00CE79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should </w:t>
      </w:r>
      <w:r w:rsidR="00E80987">
        <w:rPr>
          <w:lang w:val="en-US"/>
        </w:rPr>
        <w:t>be</w:t>
      </w:r>
      <w:r>
        <w:rPr>
          <w:lang w:val="en-US"/>
        </w:rPr>
        <w:t xml:space="preserve"> </w:t>
      </w:r>
      <w:r w:rsidR="00E80987">
        <w:rPr>
          <w:lang w:val="en-US"/>
        </w:rPr>
        <w:t>have</w:t>
      </w:r>
      <w:r>
        <w:rPr>
          <w:lang w:val="en-US"/>
        </w:rPr>
        <w:t xml:space="preserve"> component/product logo i.e., the Shothik spell checker in the client app if any third-party client app wants to connect through API.</w:t>
      </w:r>
    </w:p>
    <w:p w14:paraId="21D2A6DE" w14:textId="434D65C0" w:rsidR="00CE79D5" w:rsidRDefault="00322C9F" w:rsidP="00CE79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any external person or party, internal consultant firm, or individual of EBLCIT wants to use datasets, models, infra (server, GPU), API, web application, stand-alone app, technical guideline, audio-visual properties f</w:t>
      </w:r>
      <w:r w:rsidR="007E1870">
        <w:rPr>
          <w:lang w:val="en-US"/>
        </w:rPr>
        <w:t xml:space="preserve">or the purpose of research paper writing, the </w:t>
      </w:r>
      <w:r>
        <w:rPr>
          <w:lang w:val="en-US"/>
        </w:rPr>
        <w:t xml:space="preserve">must </w:t>
      </w:r>
      <w:r w:rsidR="007E1870">
        <w:rPr>
          <w:lang w:val="en-US"/>
        </w:rPr>
        <w:t>acknowledg</w:t>
      </w:r>
      <w:r>
        <w:rPr>
          <w:lang w:val="en-US"/>
        </w:rPr>
        <w:t>e</w:t>
      </w:r>
      <w:r w:rsidR="007E1870">
        <w:rPr>
          <w:lang w:val="en-US"/>
        </w:rPr>
        <w:t xml:space="preserve"> EBLICT, BCC </w:t>
      </w:r>
      <w:r>
        <w:rPr>
          <w:lang w:val="en-US"/>
        </w:rPr>
        <w:t xml:space="preserve">name clearly and the permission modality. The modality will be defined by license which will be mentioned in the </w:t>
      </w:r>
      <w:r w:rsidR="00FC2603">
        <w:rPr>
          <w:lang w:val="en-US"/>
        </w:rPr>
        <w:t>release notes.</w:t>
      </w:r>
    </w:p>
    <w:p w14:paraId="7CA1C8FD" w14:textId="7C247BB9" w:rsidR="00FC2603" w:rsidRPr="00CE79D5" w:rsidRDefault="00FC2603" w:rsidP="00CE79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internally </w:t>
      </w:r>
      <w:r w:rsidR="00FB1498">
        <w:rPr>
          <w:lang w:val="en-US"/>
        </w:rPr>
        <w:t>developed</w:t>
      </w:r>
      <w:r>
        <w:rPr>
          <w:lang w:val="en-US"/>
        </w:rPr>
        <w:t xml:space="preserve"> products, </w:t>
      </w:r>
      <w:r w:rsidR="00E80987">
        <w:rPr>
          <w:lang w:val="en-US"/>
        </w:rPr>
        <w:t>names</w:t>
      </w:r>
      <w:r>
        <w:rPr>
          <w:lang w:val="en-US"/>
        </w:rPr>
        <w:t>, links</w:t>
      </w:r>
      <w:r w:rsidR="00E80987">
        <w:rPr>
          <w:lang w:val="en-US"/>
        </w:rPr>
        <w:t>,</w:t>
      </w:r>
      <w:r>
        <w:rPr>
          <w:lang w:val="en-US"/>
        </w:rPr>
        <w:t xml:space="preserve"> and </w:t>
      </w:r>
      <w:r w:rsidR="00E80987">
        <w:rPr>
          <w:lang w:val="en-US"/>
        </w:rPr>
        <w:t>logos</w:t>
      </w:r>
      <w:r>
        <w:rPr>
          <w:lang w:val="en-US"/>
        </w:rPr>
        <w:t xml:space="preserve"> of </w:t>
      </w:r>
      <w:r w:rsidR="00E80987">
        <w:rPr>
          <w:lang w:val="en-US"/>
        </w:rPr>
        <w:t>components</w:t>
      </w:r>
      <w:r>
        <w:rPr>
          <w:lang w:val="en-US"/>
        </w:rPr>
        <w:t xml:space="preserve">, </w:t>
      </w:r>
      <w:r w:rsidR="00E80987">
        <w:rPr>
          <w:lang w:val="en-US"/>
        </w:rPr>
        <w:t>projects</w:t>
      </w:r>
      <w:r>
        <w:rPr>
          <w:lang w:val="en-US"/>
        </w:rPr>
        <w:t xml:space="preserve">, governing </w:t>
      </w:r>
      <w:r w:rsidR="00E80987">
        <w:rPr>
          <w:lang w:val="en-US"/>
        </w:rPr>
        <w:t>organizations</w:t>
      </w:r>
      <w:r>
        <w:rPr>
          <w:lang w:val="en-US"/>
        </w:rPr>
        <w:t xml:space="preserve"> and </w:t>
      </w:r>
      <w:r w:rsidR="00E80987">
        <w:rPr>
          <w:lang w:val="en-US"/>
        </w:rPr>
        <w:t>divisions</w:t>
      </w:r>
      <w:r>
        <w:rPr>
          <w:lang w:val="en-US"/>
        </w:rPr>
        <w:t xml:space="preserve"> should be mentioned.</w:t>
      </w:r>
      <w:r w:rsidR="00FB1498">
        <w:rPr>
          <w:lang w:val="en-US"/>
        </w:rPr>
        <w:t xml:space="preserve"> Here, Internal means consulting firm o</w:t>
      </w:r>
      <w:r w:rsidR="00816442">
        <w:rPr>
          <w:lang w:val="en-US"/>
        </w:rPr>
        <w:t>r</w:t>
      </w:r>
      <w:r w:rsidR="00FB1498">
        <w:rPr>
          <w:lang w:val="en-US"/>
        </w:rPr>
        <w:t xml:space="preserve"> individual </w:t>
      </w:r>
      <w:r w:rsidR="00E80987">
        <w:rPr>
          <w:lang w:val="en-US"/>
        </w:rPr>
        <w:t>consultants</w:t>
      </w:r>
      <w:r w:rsidR="00FB1498">
        <w:rPr>
          <w:lang w:val="en-US"/>
        </w:rPr>
        <w:t>.</w:t>
      </w:r>
    </w:p>
    <w:p w14:paraId="59658F84" w14:textId="77777777" w:rsidR="003670D8" w:rsidRDefault="003670D8">
      <w:pPr>
        <w:rPr>
          <w:lang w:val="en-US"/>
        </w:rPr>
      </w:pPr>
    </w:p>
    <w:p w14:paraId="48E77FBA" w14:textId="231F07DB" w:rsidR="008E2067" w:rsidRPr="00E80987" w:rsidRDefault="003670D8" w:rsidP="00E80987">
      <w:pPr>
        <w:pStyle w:val="ListParagraph"/>
        <w:numPr>
          <w:ilvl w:val="0"/>
          <w:numId w:val="3"/>
        </w:numPr>
        <w:rPr>
          <w:lang w:val="en-US"/>
        </w:rPr>
      </w:pPr>
      <w:r w:rsidRPr="00E80987">
        <w:rPr>
          <w:lang w:val="en-US"/>
        </w:rPr>
        <w:t xml:space="preserve">Project resources will be </w:t>
      </w:r>
      <w:r w:rsidR="00FB1498" w:rsidRPr="00E80987">
        <w:rPr>
          <w:lang w:val="en-US"/>
        </w:rPr>
        <w:t>tagged as</w:t>
      </w:r>
      <w:r w:rsidRPr="00E80987">
        <w:rPr>
          <w:lang w:val="en-US"/>
        </w:rPr>
        <w:t xml:space="preserve"> closed, privately open source.  </w:t>
      </w:r>
      <w:r w:rsidR="00596A76">
        <w:rPr>
          <w:lang w:val="en-US"/>
        </w:rPr>
        <w:t>The project</w:t>
      </w:r>
      <w:r w:rsidR="00FC2603" w:rsidRPr="00E80987">
        <w:rPr>
          <w:lang w:val="en-US"/>
        </w:rPr>
        <w:t xml:space="preserve"> reserve</w:t>
      </w:r>
      <w:r w:rsidR="00FB1498" w:rsidRPr="00E80987">
        <w:rPr>
          <w:lang w:val="en-US"/>
        </w:rPr>
        <w:t xml:space="preserve">s </w:t>
      </w:r>
      <w:r w:rsidR="00E80987" w:rsidRPr="00E80987">
        <w:rPr>
          <w:lang w:val="en-US"/>
        </w:rPr>
        <w:t xml:space="preserve">the </w:t>
      </w:r>
      <w:r w:rsidR="00FB1498" w:rsidRPr="00E80987">
        <w:rPr>
          <w:lang w:val="en-US"/>
        </w:rPr>
        <w:t>right</w:t>
      </w:r>
      <w:r w:rsidR="00FC2603" w:rsidRPr="00E80987">
        <w:rPr>
          <w:lang w:val="en-US"/>
        </w:rPr>
        <w:t xml:space="preserve"> to make</w:t>
      </w:r>
      <w:r w:rsidR="00E80987" w:rsidRPr="00E80987">
        <w:rPr>
          <w:lang w:val="en-US"/>
        </w:rPr>
        <w:t xml:space="preserve"> </w:t>
      </w:r>
      <w:r w:rsidR="00FB1498" w:rsidRPr="00E80987">
        <w:rPr>
          <w:lang w:val="en-US"/>
        </w:rPr>
        <w:t xml:space="preserve">some of </w:t>
      </w:r>
      <w:r w:rsidR="00FC2603" w:rsidRPr="00E80987">
        <w:rPr>
          <w:lang w:val="en-US"/>
        </w:rPr>
        <w:t>the resources</w:t>
      </w:r>
      <w:r w:rsidR="00596A76">
        <w:rPr>
          <w:lang w:val="en-US"/>
        </w:rPr>
        <w:t xml:space="preserve"> ‘closed’</w:t>
      </w:r>
      <w:r w:rsidR="00FC2603" w:rsidRPr="00E80987">
        <w:rPr>
          <w:lang w:val="en-US"/>
        </w:rPr>
        <w:t xml:space="preserve"> due to </w:t>
      </w:r>
      <w:r w:rsidR="00FB1498" w:rsidRPr="00E80987">
        <w:rPr>
          <w:lang w:val="en-US"/>
        </w:rPr>
        <w:t xml:space="preserve">business </w:t>
      </w:r>
      <w:r w:rsidR="00E80987" w:rsidRPr="00E80987">
        <w:rPr>
          <w:lang w:val="en-US"/>
        </w:rPr>
        <w:t>secrets</w:t>
      </w:r>
      <w:r w:rsidR="00FB1498" w:rsidRPr="00E80987">
        <w:rPr>
          <w:lang w:val="en-US"/>
        </w:rPr>
        <w:t xml:space="preserve"> and thus </w:t>
      </w:r>
      <w:r w:rsidR="00FC2603" w:rsidRPr="00E80987">
        <w:rPr>
          <w:lang w:val="en-US"/>
        </w:rPr>
        <w:t>revenue earning. Some resources could be shared</w:t>
      </w:r>
      <w:r w:rsidRPr="00E80987">
        <w:rPr>
          <w:lang w:val="en-US"/>
        </w:rPr>
        <w:t xml:space="preserve"> for research or revenue earning purposes</w:t>
      </w:r>
      <w:r w:rsidR="00FC2603" w:rsidRPr="00E80987">
        <w:rPr>
          <w:lang w:val="en-US"/>
        </w:rPr>
        <w:t xml:space="preserve"> privately keeping conditions/restrictions. </w:t>
      </w:r>
      <w:r w:rsidRPr="00E80987">
        <w:rPr>
          <w:lang w:val="en-US"/>
        </w:rPr>
        <w:t xml:space="preserve">Other resources will be released as open source. </w:t>
      </w:r>
      <w:r w:rsidR="00FB1498" w:rsidRPr="00E80987">
        <w:rPr>
          <w:lang w:val="en-US"/>
        </w:rPr>
        <w:t xml:space="preserve">When a specific resource </w:t>
      </w:r>
      <w:r w:rsidR="00E80987" w:rsidRPr="00E80987">
        <w:rPr>
          <w:lang w:val="en-US"/>
        </w:rPr>
        <w:t>is</w:t>
      </w:r>
      <w:r w:rsidR="00FB1498" w:rsidRPr="00E80987">
        <w:rPr>
          <w:lang w:val="en-US"/>
        </w:rPr>
        <w:t xml:space="preserve"> declared open source that means it will be publicly available. However, redistribution of the resources will be defined by </w:t>
      </w:r>
      <w:r w:rsidR="00E80987" w:rsidRPr="00E80987">
        <w:rPr>
          <w:lang w:val="en-US"/>
        </w:rPr>
        <w:t>the licenses</w:t>
      </w:r>
      <w:r w:rsidR="00FB1498" w:rsidRPr="00E80987">
        <w:rPr>
          <w:lang w:val="en-US"/>
        </w:rPr>
        <w:t xml:space="preserve"> of that specific resource.</w:t>
      </w:r>
    </w:p>
    <w:p w14:paraId="04D7DB8D" w14:textId="77777777" w:rsidR="00FB1498" w:rsidRDefault="00FB1498">
      <w:pPr>
        <w:rPr>
          <w:lang w:val="en-US"/>
        </w:rPr>
      </w:pPr>
    </w:p>
    <w:p w14:paraId="03638CB7" w14:textId="77777777" w:rsidR="00840E83" w:rsidRPr="00E80987" w:rsidRDefault="00840E83" w:rsidP="00840E83">
      <w:pPr>
        <w:pStyle w:val="ListParagraph"/>
        <w:numPr>
          <w:ilvl w:val="0"/>
          <w:numId w:val="3"/>
        </w:numPr>
        <w:rPr>
          <w:lang w:val="en-US"/>
        </w:rPr>
      </w:pPr>
      <w:r w:rsidRPr="00E80987">
        <w:rPr>
          <w:lang w:val="en-US"/>
        </w:rPr>
        <w:t>All products and resources can be distributed only under a license agreement.</w:t>
      </w:r>
    </w:p>
    <w:p w14:paraId="0BBA5434" w14:textId="573DFA47" w:rsidR="00FB1498" w:rsidRPr="00E80987" w:rsidRDefault="00FB1498" w:rsidP="00E80987">
      <w:pPr>
        <w:pStyle w:val="ListParagraph"/>
        <w:numPr>
          <w:ilvl w:val="0"/>
          <w:numId w:val="3"/>
        </w:numPr>
        <w:rPr>
          <w:lang w:val="en-US"/>
        </w:rPr>
      </w:pPr>
      <w:r w:rsidRPr="00E80987">
        <w:rPr>
          <w:lang w:val="en-US"/>
        </w:rPr>
        <w:t xml:space="preserve">There are </w:t>
      </w:r>
      <w:r w:rsidR="00840E83">
        <w:rPr>
          <w:lang w:val="en-US"/>
        </w:rPr>
        <w:t xml:space="preserve">several </w:t>
      </w:r>
      <w:r w:rsidRPr="00E80987">
        <w:rPr>
          <w:lang w:val="en-US"/>
        </w:rPr>
        <w:t xml:space="preserve">types of </w:t>
      </w:r>
      <w:r w:rsidR="00E80987" w:rsidRPr="00E80987">
        <w:rPr>
          <w:lang w:val="en-US"/>
        </w:rPr>
        <w:t>licenses</w:t>
      </w:r>
      <w:r w:rsidRPr="00E80987">
        <w:rPr>
          <w:lang w:val="en-US"/>
        </w:rPr>
        <w:t xml:space="preserve"> </w:t>
      </w:r>
      <w:r w:rsidR="00E80987" w:rsidRPr="00E80987">
        <w:rPr>
          <w:lang w:val="en-US"/>
        </w:rPr>
        <w:t>that</w:t>
      </w:r>
      <w:r w:rsidRPr="00E80987">
        <w:rPr>
          <w:lang w:val="en-US"/>
        </w:rPr>
        <w:t xml:space="preserve"> can be entitled </w:t>
      </w:r>
      <w:r w:rsidR="00E80987" w:rsidRPr="00E80987">
        <w:rPr>
          <w:lang w:val="en-US"/>
        </w:rPr>
        <w:t>to</w:t>
      </w:r>
      <w:r w:rsidRPr="00E80987">
        <w:rPr>
          <w:lang w:val="en-US"/>
        </w:rPr>
        <w:t xml:space="preserve"> EBLICT </w:t>
      </w:r>
      <w:r w:rsidR="00E80987" w:rsidRPr="00E80987">
        <w:rPr>
          <w:lang w:val="en-US"/>
        </w:rPr>
        <w:t>resources</w:t>
      </w:r>
      <w:r w:rsidRPr="00E80987">
        <w:rPr>
          <w:lang w:val="en-US"/>
        </w:rPr>
        <w:t xml:space="preserve"> as follows:</w:t>
      </w:r>
    </w:p>
    <w:p w14:paraId="052DC0A5" w14:textId="1A6D411A" w:rsidR="00FB1498" w:rsidRDefault="00FB1498">
      <w:pPr>
        <w:rPr>
          <w:lang w:val="en-US"/>
        </w:rPr>
      </w:pPr>
      <w:r>
        <w:rPr>
          <w:lang w:val="en-US"/>
        </w:rPr>
        <w:tab/>
        <w:t xml:space="preserve">proprietary </w:t>
      </w:r>
      <w:r w:rsidR="00D836ED">
        <w:rPr>
          <w:lang w:val="en-US"/>
        </w:rPr>
        <w:t xml:space="preserve">, </w:t>
      </w:r>
      <w:r>
        <w:rPr>
          <w:lang w:val="en-US"/>
        </w:rPr>
        <w:t>CC by 4</w:t>
      </w:r>
      <w:r w:rsidR="00D836ED">
        <w:rPr>
          <w:lang w:val="en-US"/>
        </w:rPr>
        <w:t xml:space="preserve">, </w:t>
      </w:r>
      <w:r>
        <w:rPr>
          <w:lang w:val="en-US"/>
        </w:rPr>
        <w:t>GPL 2.0</w:t>
      </w:r>
      <w:r w:rsidR="00D836ED">
        <w:rPr>
          <w:lang w:val="en-US"/>
        </w:rPr>
        <w:t xml:space="preserve">, </w:t>
      </w:r>
      <w:r>
        <w:rPr>
          <w:lang w:val="en-US"/>
        </w:rPr>
        <w:t>BSD</w:t>
      </w:r>
    </w:p>
    <w:p w14:paraId="5802AD71" w14:textId="77777777" w:rsidR="003B696B" w:rsidRDefault="003B696B">
      <w:pPr>
        <w:rPr>
          <w:lang w:val="en-US"/>
        </w:rPr>
      </w:pPr>
    </w:p>
    <w:p w14:paraId="27229103" w14:textId="5B2BC293" w:rsidR="003B696B" w:rsidRPr="00840E83" w:rsidRDefault="003B696B" w:rsidP="00840E83">
      <w:pPr>
        <w:pStyle w:val="ListParagraph"/>
        <w:numPr>
          <w:ilvl w:val="0"/>
          <w:numId w:val="3"/>
        </w:numPr>
        <w:rPr>
          <w:lang w:val="en-US"/>
        </w:rPr>
      </w:pPr>
      <w:r w:rsidRPr="00840E83">
        <w:rPr>
          <w:lang w:val="en-US"/>
        </w:rPr>
        <w:t>The resource can be exchanged by some agreement such as</w:t>
      </w:r>
    </w:p>
    <w:p w14:paraId="0A588948" w14:textId="4F9F8B8F" w:rsidR="009C5A2E" w:rsidRPr="009C5A2E" w:rsidRDefault="003B696B" w:rsidP="009C5A2E">
      <w:pPr>
        <w:pStyle w:val="ListParagraph"/>
        <w:numPr>
          <w:ilvl w:val="0"/>
          <w:numId w:val="2"/>
        </w:numPr>
        <w:rPr>
          <w:lang w:val="en-US"/>
        </w:rPr>
      </w:pPr>
      <w:r w:rsidRPr="003B696B">
        <w:rPr>
          <w:lang w:val="en-US"/>
        </w:rPr>
        <w:t xml:space="preserve">Research </w:t>
      </w:r>
      <w:r w:rsidR="00E80987">
        <w:rPr>
          <w:lang w:val="en-US"/>
        </w:rPr>
        <w:t>Collaboration</w:t>
      </w:r>
      <w:r w:rsidRPr="003B696B">
        <w:rPr>
          <w:lang w:val="en-US"/>
        </w:rPr>
        <w:t xml:space="preserve"> with </w:t>
      </w:r>
      <w:r w:rsidR="00E80987">
        <w:rPr>
          <w:lang w:val="en-US"/>
        </w:rPr>
        <w:t>Universities</w:t>
      </w:r>
      <w:r w:rsidRPr="003B696B">
        <w:rPr>
          <w:lang w:val="en-US"/>
        </w:rPr>
        <w:t xml:space="preserve"> and Govt agencies </w:t>
      </w:r>
    </w:p>
    <w:p w14:paraId="51C0E7B5" w14:textId="57D60456" w:rsidR="003B696B" w:rsidRDefault="003B696B" w:rsidP="003B69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Service </w:t>
      </w:r>
      <w:r w:rsidR="00E80987">
        <w:rPr>
          <w:lang w:val="en-US"/>
        </w:rPr>
        <w:t>through</w:t>
      </w:r>
      <w:r>
        <w:rPr>
          <w:lang w:val="en-US"/>
        </w:rPr>
        <w:t xml:space="preserve"> MoU or contract as per</w:t>
      </w:r>
      <w:r w:rsidR="00E80987">
        <w:rPr>
          <w:lang w:val="en-US"/>
        </w:rPr>
        <w:t xml:space="preserve"> service</w:t>
      </w:r>
      <w:r>
        <w:rPr>
          <w:lang w:val="en-US"/>
        </w:rPr>
        <w:t xml:space="preserve"> charter </w:t>
      </w:r>
      <w:r w:rsidR="00E12B52">
        <w:rPr>
          <w:lang w:val="en-US"/>
        </w:rPr>
        <w:t>approved by Finance Division.</w:t>
      </w:r>
    </w:p>
    <w:p w14:paraId="0808EA8C" w14:textId="670C5B26" w:rsidR="003B696B" w:rsidRDefault="003B696B" w:rsidP="003B69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Request for Dataset and model evaluation for research </w:t>
      </w:r>
      <w:r w:rsidR="00E80987">
        <w:rPr>
          <w:lang w:val="en-US"/>
        </w:rPr>
        <w:t>purposes</w:t>
      </w:r>
      <w:r>
        <w:rPr>
          <w:lang w:val="en-US"/>
        </w:rPr>
        <w:t xml:space="preserve"> by electronic </w:t>
      </w:r>
      <w:r w:rsidR="00E80987">
        <w:rPr>
          <w:lang w:val="en-US"/>
        </w:rPr>
        <w:t>form</w:t>
      </w:r>
      <w:r>
        <w:rPr>
          <w:lang w:val="en-US"/>
        </w:rPr>
        <w:t xml:space="preserve"> defined by project.</w:t>
      </w:r>
    </w:p>
    <w:p w14:paraId="1683818B" w14:textId="61D531D5" w:rsidR="00E12B52" w:rsidRDefault="009C5A2E" w:rsidP="003B69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any </w:t>
      </w:r>
      <w:r w:rsidR="00E80987">
        <w:rPr>
          <w:lang w:val="en-US"/>
        </w:rPr>
        <w:t>type</w:t>
      </w:r>
      <w:r>
        <w:rPr>
          <w:lang w:val="en-US"/>
        </w:rPr>
        <w:t xml:space="preserve"> of </w:t>
      </w:r>
      <w:r w:rsidR="00E80987">
        <w:rPr>
          <w:lang w:val="en-US"/>
        </w:rPr>
        <w:t>use</w:t>
      </w:r>
      <w:r>
        <w:rPr>
          <w:lang w:val="en-US"/>
        </w:rPr>
        <w:t xml:space="preserve">, </w:t>
      </w:r>
      <w:r w:rsidR="00E80987">
        <w:rPr>
          <w:lang w:val="en-US"/>
        </w:rPr>
        <w:t>explicit acknowledgment</w:t>
      </w:r>
      <w:r>
        <w:rPr>
          <w:lang w:val="en-US"/>
        </w:rPr>
        <w:t xml:space="preserve"> of BCC should be addressed.</w:t>
      </w:r>
    </w:p>
    <w:p w14:paraId="41D6503F" w14:textId="30D26B49" w:rsidR="009C5A2E" w:rsidRDefault="009C5A2E" w:rsidP="00DD6BD2">
      <w:pPr>
        <w:tabs>
          <w:tab w:val="left" w:pos="1159"/>
        </w:tabs>
        <w:rPr>
          <w:lang w:val="en-US"/>
        </w:rPr>
      </w:pPr>
    </w:p>
    <w:p w14:paraId="5D96E984" w14:textId="77777777" w:rsidR="00D836ED" w:rsidRDefault="00D836ED" w:rsidP="00E80987">
      <w:pPr>
        <w:ind w:left="720"/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lastRenderedPageBreak/>
        <w:t>Appendix 2</w:t>
      </w:r>
    </w:p>
    <w:p w14:paraId="4ADA982F" w14:textId="075EDED3" w:rsidR="00461337" w:rsidRPr="00E80987" w:rsidRDefault="00461337" w:rsidP="00E80987">
      <w:pPr>
        <w:ind w:left="720"/>
        <w:jc w:val="center"/>
        <w:rPr>
          <w:rFonts w:asciiTheme="majorHAnsi" w:hAnsiTheme="majorHAnsi" w:cstheme="majorHAnsi"/>
          <w:b/>
          <w:bCs/>
          <w:lang w:val="en-US"/>
        </w:rPr>
      </w:pPr>
      <w:r w:rsidRPr="00E80987">
        <w:rPr>
          <w:rFonts w:asciiTheme="majorHAnsi" w:hAnsiTheme="majorHAnsi" w:cstheme="majorHAnsi"/>
          <w:b/>
          <w:bCs/>
          <w:lang w:val="en-US"/>
        </w:rPr>
        <w:t>Tariff Charter for EBLICT Services</w:t>
      </w:r>
    </w:p>
    <w:p w14:paraId="5903281E" w14:textId="77777777" w:rsidR="00461337" w:rsidRPr="00461337" w:rsidRDefault="00461337" w:rsidP="009C5A2E">
      <w:pPr>
        <w:ind w:left="720"/>
        <w:rPr>
          <w:rFonts w:asciiTheme="majorHAnsi" w:hAnsiTheme="majorHAnsi" w:cstheme="majorHAnsi"/>
          <w:lang w:val="en-US"/>
        </w:rPr>
      </w:pPr>
    </w:p>
    <w:p w14:paraId="55D15D59" w14:textId="7B415174" w:rsidR="009C5A2E" w:rsidRPr="003E026F" w:rsidRDefault="009C5A2E" w:rsidP="00816442">
      <w:pPr>
        <w:rPr>
          <w:rFonts w:asciiTheme="majorHAnsi" w:hAnsiTheme="majorHAnsi" w:cstheme="majorHAnsi"/>
        </w:rPr>
      </w:pPr>
      <w:r w:rsidRPr="003E026F">
        <w:rPr>
          <w:rFonts w:asciiTheme="majorHAnsi" w:hAnsiTheme="majorHAnsi" w:cstheme="majorHAnsi"/>
        </w:rPr>
        <w:t xml:space="preserve">The services of the EBLICT could be divided into some categories for </w:t>
      </w:r>
      <w:r>
        <w:rPr>
          <w:rFonts w:asciiTheme="majorHAnsi" w:hAnsiTheme="majorHAnsi" w:cstheme="majorHAnsi"/>
          <w:lang w:val="en-US"/>
        </w:rPr>
        <w:t>financial/</w:t>
      </w:r>
      <w:r w:rsidRPr="003E026F">
        <w:rPr>
          <w:rFonts w:asciiTheme="majorHAnsi" w:hAnsiTheme="majorHAnsi" w:cstheme="majorHAnsi"/>
        </w:rPr>
        <w:t xml:space="preserve">billing </w:t>
      </w:r>
      <w:r w:rsidR="00DD6BD2">
        <w:rPr>
          <w:rFonts w:asciiTheme="majorHAnsi" w:hAnsiTheme="majorHAnsi" w:cstheme="majorHAnsi"/>
        </w:rPr>
        <w:t>purposes</w:t>
      </w:r>
      <w:r w:rsidRPr="003E026F">
        <w:rPr>
          <w:rFonts w:asciiTheme="majorHAnsi" w:hAnsiTheme="majorHAnsi" w:cstheme="majorHAnsi"/>
        </w:rPr>
        <w:t>. The features of the service categories are given below:</w:t>
      </w:r>
    </w:p>
    <w:p w14:paraId="5BF6FEB7" w14:textId="77777777" w:rsidR="009C5A2E" w:rsidRPr="00816442" w:rsidRDefault="009C5A2E" w:rsidP="0081644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816442">
        <w:rPr>
          <w:rFonts w:asciiTheme="majorHAnsi" w:hAnsiTheme="majorHAnsi" w:cstheme="majorHAnsi"/>
          <w:b/>
          <w:bCs/>
        </w:rPr>
        <w:t>Free Public single user</w:t>
      </w:r>
      <w:r w:rsidRPr="00816442">
        <w:rPr>
          <w:rFonts w:asciiTheme="majorHAnsi" w:hAnsiTheme="majorHAnsi" w:cstheme="majorHAnsi"/>
        </w:rPr>
        <w:t>: No charge, Single user no registration required, uses chank might be limited and some features might be restricted.</w:t>
      </w:r>
    </w:p>
    <w:p w14:paraId="2D969516" w14:textId="77777777" w:rsidR="009C5A2E" w:rsidRPr="00816442" w:rsidRDefault="009C5A2E" w:rsidP="0081644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816442">
        <w:rPr>
          <w:rFonts w:asciiTheme="majorHAnsi" w:hAnsiTheme="majorHAnsi" w:cstheme="majorHAnsi"/>
          <w:b/>
          <w:bCs/>
        </w:rPr>
        <w:t>Free registered user</w:t>
      </w:r>
      <w:r w:rsidRPr="00816442">
        <w:rPr>
          <w:rFonts w:asciiTheme="majorHAnsi" w:hAnsiTheme="majorHAnsi" w:cstheme="majorHAnsi"/>
        </w:rPr>
        <w:t>: No charge, Single user with registration, uses chank might be limited and some features might be restricted.</w:t>
      </w:r>
    </w:p>
    <w:p w14:paraId="04E24855" w14:textId="77777777" w:rsidR="009C5A2E" w:rsidRPr="00816442" w:rsidRDefault="009C5A2E" w:rsidP="0081644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816442">
        <w:rPr>
          <w:rFonts w:asciiTheme="majorHAnsi" w:hAnsiTheme="majorHAnsi" w:cstheme="majorHAnsi"/>
          <w:b/>
          <w:bCs/>
        </w:rPr>
        <w:t>Pro public single user</w:t>
      </w:r>
      <w:r w:rsidRPr="00816442">
        <w:rPr>
          <w:rFonts w:asciiTheme="majorHAnsi" w:hAnsiTheme="majorHAnsi" w:cstheme="majorHAnsi"/>
        </w:rPr>
        <w:t>: Charge applied, Single user with registration, uses chank might be higher and some features might be open.</w:t>
      </w:r>
    </w:p>
    <w:p w14:paraId="77FDA876" w14:textId="695FE1EB" w:rsidR="009C5A2E" w:rsidRPr="00816442" w:rsidRDefault="009C5A2E" w:rsidP="0081644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816442">
        <w:rPr>
          <w:rFonts w:asciiTheme="majorHAnsi" w:hAnsiTheme="majorHAnsi" w:cstheme="majorHAnsi"/>
          <w:b/>
          <w:bCs/>
        </w:rPr>
        <w:t>Pro bulk team user</w:t>
      </w:r>
      <w:r w:rsidRPr="00816442">
        <w:rPr>
          <w:rFonts w:asciiTheme="majorHAnsi" w:hAnsiTheme="majorHAnsi" w:cstheme="majorHAnsi"/>
        </w:rPr>
        <w:t xml:space="preserve">: Charge might be applied or not, multiple concurrent </w:t>
      </w:r>
      <w:r w:rsidR="00E80987" w:rsidRPr="00816442">
        <w:rPr>
          <w:rFonts w:asciiTheme="majorHAnsi" w:hAnsiTheme="majorHAnsi" w:cstheme="majorHAnsi"/>
        </w:rPr>
        <w:t>users</w:t>
      </w:r>
      <w:r w:rsidRPr="00816442">
        <w:rPr>
          <w:rFonts w:asciiTheme="majorHAnsi" w:hAnsiTheme="majorHAnsi" w:cstheme="majorHAnsi"/>
        </w:rPr>
        <w:t xml:space="preserve"> from internal client application having team registration, uses chank might be higher and some features might be open.</w:t>
      </w:r>
    </w:p>
    <w:p w14:paraId="5934B0ED" w14:textId="6401E8F1" w:rsidR="009C5A2E" w:rsidRPr="00816442" w:rsidRDefault="009C5A2E" w:rsidP="0081644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816442">
        <w:rPr>
          <w:rFonts w:asciiTheme="majorHAnsi" w:hAnsiTheme="majorHAnsi" w:cstheme="majorHAnsi"/>
          <w:b/>
          <w:bCs/>
        </w:rPr>
        <w:t>Pro bulk govt user</w:t>
      </w:r>
      <w:r w:rsidRPr="00816442">
        <w:rPr>
          <w:rFonts w:asciiTheme="majorHAnsi" w:hAnsiTheme="majorHAnsi" w:cstheme="majorHAnsi"/>
        </w:rPr>
        <w:t xml:space="preserve">: Charge might be applied or not, multiple concurrent </w:t>
      </w:r>
      <w:r w:rsidR="00DD6BD2" w:rsidRPr="00816442">
        <w:rPr>
          <w:rFonts w:asciiTheme="majorHAnsi" w:hAnsiTheme="majorHAnsi" w:cstheme="majorHAnsi"/>
        </w:rPr>
        <w:t>users</w:t>
      </w:r>
      <w:r w:rsidRPr="00816442">
        <w:rPr>
          <w:rFonts w:asciiTheme="majorHAnsi" w:hAnsiTheme="majorHAnsi" w:cstheme="majorHAnsi"/>
        </w:rPr>
        <w:t xml:space="preserve"> from external client application, uses chank might be higher and some features might be open.</w:t>
      </w:r>
    </w:p>
    <w:p w14:paraId="557449E4" w14:textId="0E617C77" w:rsidR="009C5A2E" w:rsidRPr="00816442" w:rsidRDefault="009C5A2E" w:rsidP="0081644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816442">
        <w:rPr>
          <w:rFonts w:asciiTheme="majorHAnsi" w:hAnsiTheme="majorHAnsi" w:cstheme="majorHAnsi"/>
          <w:b/>
          <w:bCs/>
        </w:rPr>
        <w:t>Pro bulk commercial user</w:t>
      </w:r>
      <w:r w:rsidRPr="00816442">
        <w:rPr>
          <w:rFonts w:asciiTheme="majorHAnsi" w:hAnsiTheme="majorHAnsi" w:cstheme="majorHAnsi"/>
        </w:rPr>
        <w:t xml:space="preserve">: Different Charges might be applied or not, multiple concurrent </w:t>
      </w:r>
      <w:r w:rsidR="00E80987" w:rsidRPr="00816442">
        <w:rPr>
          <w:rFonts w:asciiTheme="majorHAnsi" w:hAnsiTheme="majorHAnsi" w:cstheme="majorHAnsi"/>
        </w:rPr>
        <w:t>users</w:t>
      </w:r>
      <w:r w:rsidRPr="00816442">
        <w:rPr>
          <w:rFonts w:asciiTheme="majorHAnsi" w:hAnsiTheme="majorHAnsi" w:cstheme="majorHAnsi"/>
        </w:rPr>
        <w:t xml:space="preserve"> from external client </w:t>
      </w:r>
      <w:r w:rsidR="00E80987" w:rsidRPr="00816442">
        <w:rPr>
          <w:rFonts w:asciiTheme="majorHAnsi" w:hAnsiTheme="majorHAnsi" w:cstheme="majorHAnsi"/>
        </w:rPr>
        <w:t>applications</w:t>
      </w:r>
      <w:r w:rsidRPr="00816442">
        <w:rPr>
          <w:rFonts w:asciiTheme="majorHAnsi" w:hAnsiTheme="majorHAnsi" w:cstheme="majorHAnsi"/>
        </w:rPr>
        <w:t>, uses chank might be higher and some features might be open.</w:t>
      </w:r>
    </w:p>
    <w:p w14:paraId="694388D7" w14:textId="175C43BF" w:rsidR="009C5A2E" w:rsidRPr="00816442" w:rsidRDefault="009C5A2E" w:rsidP="0081644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816442">
        <w:rPr>
          <w:rFonts w:asciiTheme="majorHAnsi" w:hAnsiTheme="majorHAnsi" w:cstheme="majorHAnsi"/>
          <w:b/>
          <w:bCs/>
        </w:rPr>
        <w:t>Free Researcher Credit:</w:t>
      </w:r>
      <w:r w:rsidRPr="00816442">
        <w:rPr>
          <w:rFonts w:asciiTheme="majorHAnsi" w:hAnsiTheme="majorHAnsi" w:cstheme="majorHAnsi"/>
        </w:rPr>
        <w:t xml:space="preserve"> No charge, Single </w:t>
      </w:r>
      <w:r w:rsidR="00E80987" w:rsidRPr="00816442">
        <w:rPr>
          <w:rFonts w:asciiTheme="majorHAnsi" w:hAnsiTheme="majorHAnsi" w:cstheme="majorHAnsi"/>
        </w:rPr>
        <w:t>users</w:t>
      </w:r>
      <w:r w:rsidRPr="00816442">
        <w:rPr>
          <w:rFonts w:asciiTheme="majorHAnsi" w:hAnsiTheme="majorHAnsi" w:cstheme="majorHAnsi"/>
        </w:rPr>
        <w:t xml:space="preserve"> with special category registration, uses chank might be limited and some features might be open.</w:t>
      </w:r>
    </w:p>
    <w:p w14:paraId="7779E9A7" w14:textId="1EB52BB2" w:rsidR="00FC2603" w:rsidRDefault="009C5A2E" w:rsidP="00FC2603">
      <w:pPr>
        <w:tabs>
          <w:tab w:val="left" w:pos="1159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A system should be developed under SD19 to execute the billing plan.</w:t>
      </w:r>
      <w:r w:rsidR="00E80987">
        <w:rPr>
          <w:rFonts w:asciiTheme="majorHAnsi" w:hAnsiTheme="majorHAnsi" w:cstheme="majorHAnsi"/>
          <w:lang w:val="en-US"/>
        </w:rPr>
        <w:t xml:space="preserve"> </w:t>
      </w:r>
      <w:r w:rsidRPr="003E026F">
        <w:rPr>
          <w:rFonts w:asciiTheme="majorHAnsi" w:hAnsiTheme="majorHAnsi" w:cstheme="majorHAnsi"/>
        </w:rPr>
        <w:t xml:space="preserve">The system should count the request and apply </w:t>
      </w:r>
      <w:r w:rsidR="00E80987">
        <w:rPr>
          <w:rFonts w:asciiTheme="majorHAnsi" w:hAnsiTheme="majorHAnsi" w:cstheme="majorHAnsi"/>
          <w:lang w:val="en-US"/>
        </w:rPr>
        <w:t xml:space="preserve">the </w:t>
      </w:r>
      <w:r w:rsidRPr="003E026F">
        <w:rPr>
          <w:rFonts w:asciiTheme="majorHAnsi" w:hAnsiTheme="majorHAnsi" w:cstheme="majorHAnsi"/>
        </w:rPr>
        <w:t xml:space="preserve">charge as per </w:t>
      </w:r>
      <w:r w:rsidR="00E80987">
        <w:rPr>
          <w:rFonts w:asciiTheme="majorHAnsi" w:hAnsiTheme="majorHAnsi" w:cstheme="majorHAnsi"/>
        </w:rPr>
        <w:t>client's</w:t>
      </w:r>
      <w:r w:rsidRPr="003E026F">
        <w:rPr>
          <w:rFonts w:asciiTheme="majorHAnsi" w:hAnsiTheme="majorHAnsi" w:cstheme="majorHAnsi"/>
        </w:rPr>
        <w:t xml:space="preserve"> requirement. The charge, uses tire/chank, features</w:t>
      </w:r>
      <w:r w:rsidR="00E80987">
        <w:rPr>
          <w:rFonts w:asciiTheme="majorHAnsi" w:hAnsiTheme="majorHAnsi" w:cstheme="majorHAnsi"/>
          <w:lang w:val="en-US"/>
        </w:rPr>
        <w:t>,</w:t>
      </w:r>
      <w:r w:rsidRPr="003E026F">
        <w:rPr>
          <w:rFonts w:asciiTheme="majorHAnsi" w:hAnsiTheme="majorHAnsi" w:cstheme="majorHAnsi"/>
        </w:rPr>
        <w:t xml:space="preserve"> and services must be configurable through </w:t>
      </w:r>
      <w:r w:rsidR="00E80987">
        <w:rPr>
          <w:rFonts w:asciiTheme="majorHAnsi" w:hAnsiTheme="majorHAnsi" w:cstheme="majorHAnsi"/>
        </w:rPr>
        <w:t>GUI</w:t>
      </w:r>
      <w:r w:rsidRPr="003E026F">
        <w:rPr>
          <w:rFonts w:asciiTheme="majorHAnsi" w:hAnsiTheme="majorHAnsi" w:cstheme="majorHAnsi"/>
        </w:rPr>
        <w:t xml:space="preserve"> easily.  </w:t>
      </w:r>
    </w:p>
    <w:p w14:paraId="3E622C11" w14:textId="77777777" w:rsidR="009C5A2E" w:rsidRDefault="009C5A2E" w:rsidP="00FC2603">
      <w:pPr>
        <w:tabs>
          <w:tab w:val="left" w:pos="1159"/>
        </w:tabs>
        <w:rPr>
          <w:rFonts w:asciiTheme="majorHAnsi" w:hAnsiTheme="majorHAnsi" w:cstheme="majorHAnsi"/>
        </w:rPr>
      </w:pPr>
    </w:p>
    <w:p w14:paraId="04960B65" w14:textId="6E76C096" w:rsidR="009C5A2E" w:rsidRDefault="001204E5" w:rsidP="00FC2603">
      <w:pPr>
        <w:tabs>
          <w:tab w:val="left" w:pos="1159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For </w:t>
      </w:r>
      <w:r w:rsidR="00E80987">
        <w:rPr>
          <w:rFonts w:asciiTheme="majorHAnsi" w:hAnsiTheme="majorHAnsi" w:cstheme="majorHAnsi"/>
          <w:lang w:val="en-US"/>
        </w:rPr>
        <w:t>end-users</w:t>
      </w:r>
      <w:r>
        <w:rPr>
          <w:rFonts w:asciiTheme="majorHAnsi" w:hAnsiTheme="majorHAnsi" w:cstheme="majorHAnsi"/>
          <w:lang w:val="en-US"/>
        </w:rPr>
        <w:t xml:space="preserve"> through </w:t>
      </w:r>
      <w:r w:rsidR="00E80987">
        <w:rPr>
          <w:rFonts w:asciiTheme="majorHAnsi" w:hAnsiTheme="majorHAnsi" w:cstheme="majorHAnsi"/>
          <w:lang w:val="en-US"/>
        </w:rPr>
        <w:t xml:space="preserve">a </w:t>
      </w:r>
      <w:r w:rsidR="00461337">
        <w:rPr>
          <w:rFonts w:asciiTheme="majorHAnsi" w:hAnsiTheme="majorHAnsi" w:cstheme="majorHAnsi"/>
          <w:lang w:val="en-US"/>
        </w:rPr>
        <w:t>self-developed client app</w:t>
      </w:r>
      <w:r>
        <w:rPr>
          <w:rFonts w:asciiTheme="majorHAnsi" w:hAnsiTheme="majorHAnsi" w:cstheme="majorHAnsi"/>
          <w:lang w:val="en-US"/>
        </w:rPr>
        <w:t xml:space="preserve">, </w:t>
      </w:r>
      <w:r w:rsidR="00461337">
        <w:rPr>
          <w:rFonts w:asciiTheme="majorHAnsi" w:hAnsiTheme="majorHAnsi" w:cstheme="majorHAnsi"/>
          <w:lang w:val="en-US"/>
        </w:rPr>
        <w:t>a</w:t>
      </w:r>
      <w:r w:rsidR="00C43129">
        <w:rPr>
          <w:rFonts w:asciiTheme="majorHAnsi" w:hAnsiTheme="majorHAnsi" w:cstheme="majorHAnsi"/>
          <w:lang w:val="en-US"/>
        </w:rPr>
        <w:t>ll services of the EBLICT</w:t>
      </w:r>
      <w:r w:rsidR="00461337">
        <w:rPr>
          <w:rFonts w:asciiTheme="majorHAnsi" w:hAnsiTheme="majorHAnsi" w:cstheme="majorHAnsi"/>
          <w:lang w:val="en-US"/>
        </w:rPr>
        <w:t xml:space="preserve"> will be served free of cost. However, some pro services could require monetary value. The following services will </w:t>
      </w:r>
      <w:r w:rsidR="00E80987">
        <w:rPr>
          <w:rFonts w:asciiTheme="majorHAnsi" w:hAnsiTheme="majorHAnsi" w:cstheme="majorHAnsi"/>
          <w:lang w:val="en-US"/>
        </w:rPr>
        <w:t>be charged</w:t>
      </w:r>
      <w:r w:rsidR="00461337">
        <w:rPr>
          <w:rFonts w:asciiTheme="majorHAnsi" w:hAnsiTheme="majorHAnsi" w:cstheme="majorHAnsi"/>
          <w:lang w:val="en-US"/>
        </w:rPr>
        <w:t xml:space="preserve"> for</w:t>
      </w:r>
      <w:r w:rsidR="00E80987">
        <w:rPr>
          <w:rFonts w:asciiTheme="majorHAnsi" w:hAnsiTheme="majorHAnsi" w:cstheme="majorHAnsi"/>
          <w:lang w:val="en-US"/>
        </w:rPr>
        <w:t>:</w:t>
      </w:r>
    </w:p>
    <w:p w14:paraId="7089E0D6" w14:textId="77777777" w:rsidR="00461337" w:rsidRDefault="00461337" w:rsidP="00FC2603">
      <w:pPr>
        <w:tabs>
          <w:tab w:val="left" w:pos="1159"/>
        </w:tabs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500"/>
        <w:gridCol w:w="1558"/>
        <w:gridCol w:w="1528"/>
        <w:gridCol w:w="1557"/>
        <w:gridCol w:w="1423"/>
      </w:tblGrid>
      <w:tr w:rsidR="00E80987" w14:paraId="486FA8C2" w14:textId="47A850CD" w:rsidTr="00923803">
        <w:tc>
          <w:tcPr>
            <w:tcW w:w="1535" w:type="dxa"/>
          </w:tcPr>
          <w:p w14:paraId="4F36929B" w14:textId="39279158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Service Name</w:t>
            </w:r>
          </w:p>
        </w:tc>
        <w:tc>
          <w:tcPr>
            <w:tcW w:w="1513" w:type="dxa"/>
          </w:tcPr>
          <w:p w14:paraId="7BA3324D" w14:textId="13C628ED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EBLICT Client APP/ API Testing Pack/ Gen Subscription</w:t>
            </w:r>
          </w:p>
        </w:tc>
        <w:tc>
          <w:tcPr>
            <w:tcW w:w="1646" w:type="dxa"/>
          </w:tcPr>
          <w:p w14:paraId="3ECDA6B0" w14:textId="091770AA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API to External App: Pro1 Pack</w:t>
            </w:r>
          </w:p>
        </w:tc>
        <w:tc>
          <w:tcPr>
            <w:tcW w:w="1579" w:type="dxa"/>
          </w:tcPr>
          <w:p w14:paraId="72808B5F" w14:textId="4C5B1573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API to External App: Pro2 Pack</w:t>
            </w:r>
          </w:p>
        </w:tc>
        <w:tc>
          <w:tcPr>
            <w:tcW w:w="1579" w:type="dxa"/>
          </w:tcPr>
          <w:p w14:paraId="0EC220B6" w14:textId="4C95ED25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Subscription Pro1 Pack</w:t>
            </w:r>
          </w:p>
        </w:tc>
        <w:tc>
          <w:tcPr>
            <w:tcW w:w="1164" w:type="dxa"/>
          </w:tcPr>
          <w:p w14:paraId="1F30961A" w14:textId="518DFE66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Subscription Pro1 Pack</w:t>
            </w:r>
          </w:p>
        </w:tc>
      </w:tr>
      <w:tr w:rsidR="00E80987" w14:paraId="10ACC4D8" w14:textId="25FB1DD1" w:rsidTr="00923803">
        <w:tc>
          <w:tcPr>
            <w:tcW w:w="1535" w:type="dxa"/>
          </w:tcPr>
          <w:p w14:paraId="60F8C7EB" w14:textId="77777777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</w:p>
        </w:tc>
        <w:tc>
          <w:tcPr>
            <w:tcW w:w="1513" w:type="dxa"/>
          </w:tcPr>
          <w:p w14:paraId="431A66A0" w14:textId="77D167D4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Per Req/Per User/ Per IP</w:t>
            </w:r>
          </w:p>
        </w:tc>
        <w:tc>
          <w:tcPr>
            <w:tcW w:w="1646" w:type="dxa"/>
          </w:tcPr>
          <w:p w14:paraId="66DFE350" w14:textId="0F0154B8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Per Request</w:t>
            </w:r>
          </w:p>
        </w:tc>
        <w:tc>
          <w:tcPr>
            <w:tcW w:w="1579" w:type="dxa"/>
          </w:tcPr>
          <w:p w14:paraId="36205013" w14:textId="3E6EBFE1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Per Request</w:t>
            </w:r>
          </w:p>
        </w:tc>
        <w:tc>
          <w:tcPr>
            <w:tcW w:w="1579" w:type="dxa"/>
          </w:tcPr>
          <w:p w14:paraId="2DB60465" w14:textId="2A49B86F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Per User or IP</w:t>
            </w:r>
          </w:p>
        </w:tc>
        <w:tc>
          <w:tcPr>
            <w:tcW w:w="1164" w:type="dxa"/>
          </w:tcPr>
          <w:p w14:paraId="2DB3A182" w14:textId="2E5AA6FD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Per User or IP</w:t>
            </w:r>
          </w:p>
        </w:tc>
      </w:tr>
      <w:tr w:rsidR="00E80987" w14:paraId="7AF90217" w14:textId="5F47D61C" w:rsidTr="00923803">
        <w:tc>
          <w:tcPr>
            <w:tcW w:w="1535" w:type="dxa"/>
          </w:tcPr>
          <w:p w14:paraId="7EA9EDDE" w14:textId="00F5288D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OCR</w:t>
            </w:r>
          </w:p>
        </w:tc>
        <w:tc>
          <w:tcPr>
            <w:tcW w:w="1513" w:type="dxa"/>
          </w:tcPr>
          <w:p w14:paraId="58176438" w14:textId="45A31F31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1646" w:type="dxa"/>
          </w:tcPr>
          <w:p w14:paraId="146C9AE1" w14:textId="03F42A24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.49</w:t>
            </w:r>
            <w:r w:rsidR="00E80987">
              <w:rPr>
                <w:lang w:val="en-US"/>
              </w:rPr>
              <w:t>/ Image</w:t>
            </w:r>
          </w:p>
        </w:tc>
        <w:tc>
          <w:tcPr>
            <w:tcW w:w="1579" w:type="dxa"/>
          </w:tcPr>
          <w:p w14:paraId="257E57BF" w14:textId="4BA61FEE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E80987">
              <w:rPr>
                <w:lang w:val="en-US"/>
              </w:rPr>
              <w:t>79/Image</w:t>
            </w:r>
          </w:p>
        </w:tc>
        <w:tc>
          <w:tcPr>
            <w:tcW w:w="1579" w:type="dxa"/>
          </w:tcPr>
          <w:p w14:paraId="5AB97849" w14:textId="29B50D41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160</w:t>
            </w:r>
            <w:r w:rsidR="00923803">
              <w:rPr>
                <w:lang w:val="en-US"/>
              </w:rPr>
              <w:t xml:space="preserve"> taka</w:t>
            </w:r>
            <w:r>
              <w:rPr>
                <w:lang w:val="en-US"/>
              </w:rPr>
              <w:t>/month</w:t>
            </w:r>
          </w:p>
        </w:tc>
        <w:tc>
          <w:tcPr>
            <w:tcW w:w="1164" w:type="dxa"/>
          </w:tcPr>
          <w:p w14:paraId="61EDE0DD" w14:textId="0A08C740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300 taka/month</w:t>
            </w:r>
          </w:p>
        </w:tc>
      </w:tr>
      <w:tr w:rsidR="00E80987" w14:paraId="71B8FCB2" w14:textId="7DD85F50" w:rsidTr="00923803">
        <w:tc>
          <w:tcPr>
            <w:tcW w:w="1535" w:type="dxa"/>
          </w:tcPr>
          <w:p w14:paraId="696C34ED" w14:textId="1101D760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Spell</w:t>
            </w:r>
          </w:p>
        </w:tc>
        <w:tc>
          <w:tcPr>
            <w:tcW w:w="1513" w:type="dxa"/>
          </w:tcPr>
          <w:p w14:paraId="7737508B" w14:textId="44BE8AC0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1646" w:type="dxa"/>
          </w:tcPr>
          <w:p w14:paraId="2019ECA5" w14:textId="0E361DDB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.49/ Chunk</w:t>
            </w:r>
          </w:p>
        </w:tc>
        <w:tc>
          <w:tcPr>
            <w:tcW w:w="1579" w:type="dxa"/>
          </w:tcPr>
          <w:p w14:paraId="1D982B11" w14:textId="287506BF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.79/ Chunk</w:t>
            </w:r>
          </w:p>
        </w:tc>
        <w:tc>
          <w:tcPr>
            <w:tcW w:w="1579" w:type="dxa"/>
          </w:tcPr>
          <w:p w14:paraId="2F6D4D01" w14:textId="21CA3F12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160 taka/month</w:t>
            </w:r>
          </w:p>
        </w:tc>
        <w:tc>
          <w:tcPr>
            <w:tcW w:w="1164" w:type="dxa"/>
          </w:tcPr>
          <w:p w14:paraId="70CD88E1" w14:textId="35B47029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300 taka/month</w:t>
            </w:r>
          </w:p>
        </w:tc>
      </w:tr>
      <w:tr w:rsidR="00E80987" w14:paraId="298F0758" w14:textId="18091381" w:rsidTr="00923803">
        <w:tc>
          <w:tcPr>
            <w:tcW w:w="1535" w:type="dxa"/>
          </w:tcPr>
          <w:p w14:paraId="3DD2260A" w14:textId="68A43EFD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513" w:type="dxa"/>
          </w:tcPr>
          <w:p w14:paraId="420A26DF" w14:textId="09E15FF7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1646" w:type="dxa"/>
          </w:tcPr>
          <w:p w14:paraId="1A821FAB" w14:textId="4F2FD1B8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.49/text</w:t>
            </w:r>
          </w:p>
        </w:tc>
        <w:tc>
          <w:tcPr>
            <w:tcW w:w="1579" w:type="dxa"/>
          </w:tcPr>
          <w:p w14:paraId="0D0590C2" w14:textId="5C054543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.79/ text</w:t>
            </w:r>
          </w:p>
        </w:tc>
        <w:tc>
          <w:tcPr>
            <w:tcW w:w="1579" w:type="dxa"/>
          </w:tcPr>
          <w:p w14:paraId="3CAC2641" w14:textId="66E261D0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160 taka/month</w:t>
            </w:r>
          </w:p>
        </w:tc>
        <w:tc>
          <w:tcPr>
            <w:tcW w:w="1164" w:type="dxa"/>
          </w:tcPr>
          <w:p w14:paraId="2F3E07C4" w14:textId="1A7A9098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300 taka/month</w:t>
            </w:r>
          </w:p>
        </w:tc>
      </w:tr>
      <w:tr w:rsidR="00E80987" w14:paraId="24E58124" w14:textId="79BCC41D" w:rsidTr="00923803">
        <w:tc>
          <w:tcPr>
            <w:tcW w:w="1535" w:type="dxa"/>
          </w:tcPr>
          <w:p w14:paraId="6F197C87" w14:textId="35E77121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TTS</w:t>
            </w:r>
          </w:p>
        </w:tc>
        <w:tc>
          <w:tcPr>
            <w:tcW w:w="1513" w:type="dxa"/>
          </w:tcPr>
          <w:p w14:paraId="3FCB44C6" w14:textId="262B3124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1646" w:type="dxa"/>
          </w:tcPr>
          <w:p w14:paraId="741A31D3" w14:textId="77041077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.49/ text</w:t>
            </w:r>
          </w:p>
        </w:tc>
        <w:tc>
          <w:tcPr>
            <w:tcW w:w="1579" w:type="dxa"/>
          </w:tcPr>
          <w:p w14:paraId="2BF659F3" w14:textId="21808AF0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.79/ text</w:t>
            </w:r>
          </w:p>
        </w:tc>
        <w:tc>
          <w:tcPr>
            <w:tcW w:w="1579" w:type="dxa"/>
          </w:tcPr>
          <w:p w14:paraId="62F7992C" w14:textId="15CF6552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160 taka/month</w:t>
            </w:r>
          </w:p>
        </w:tc>
        <w:tc>
          <w:tcPr>
            <w:tcW w:w="1164" w:type="dxa"/>
          </w:tcPr>
          <w:p w14:paraId="59BC8B8A" w14:textId="75D6A0BE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300 taka/month</w:t>
            </w:r>
          </w:p>
        </w:tc>
      </w:tr>
      <w:tr w:rsidR="00E80987" w14:paraId="32F7186B" w14:textId="3142027A" w:rsidTr="00923803">
        <w:tc>
          <w:tcPr>
            <w:tcW w:w="1535" w:type="dxa"/>
          </w:tcPr>
          <w:p w14:paraId="3443176E" w14:textId="12B33A6B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MT</w:t>
            </w:r>
          </w:p>
        </w:tc>
        <w:tc>
          <w:tcPr>
            <w:tcW w:w="1513" w:type="dxa"/>
          </w:tcPr>
          <w:p w14:paraId="0CE6B11A" w14:textId="62090493" w:rsidR="00923803" w:rsidRDefault="00923803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1646" w:type="dxa"/>
          </w:tcPr>
          <w:p w14:paraId="0924F9A2" w14:textId="77904964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.49/doc</w:t>
            </w:r>
          </w:p>
        </w:tc>
        <w:tc>
          <w:tcPr>
            <w:tcW w:w="1579" w:type="dxa"/>
          </w:tcPr>
          <w:p w14:paraId="6A895E64" w14:textId="19F9D5F0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.79/doc</w:t>
            </w:r>
          </w:p>
        </w:tc>
        <w:tc>
          <w:tcPr>
            <w:tcW w:w="1579" w:type="dxa"/>
          </w:tcPr>
          <w:p w14:paraId="7D36091D" w14:textId="506EBED3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160 taka/month</w:t>
            </w:r>
          </w:p>
        </w:tc>
        <w:tc>
          <w:tcPr>
            <w:tcW w:w="1164" w:type="dxa"/>
          </w:tcPr>
          <w:p w14:paraId="4C65D7E3" w14:textId="645EF39F" w:rsidR="00923803" w:rsidRDefault="00E80987" w:rsidP="00FC2603">
            <w:pPr>
              <w:tabs>
                <w:tab w:val="left" w:pos="1159"/>
              </w:tabs>
              <w:rPr>
                <w:lang w:val="en-US"/>
              </w:rPr>
            </w:pPr>
            <w:r>
              <w:rPr>
                <w:lang w:val="en-US"/>
              </w:rPr>
              <w:t>300 taka/month</w:t>
            </w:r>
          </w:p>
        </w:tc>
      </w:tr>
    </w:tbl>
    <w:p w14:paraId="71F93F9C" w14:textId="77777777" w:rsidR="00461337" w:rsidRPr="009C5A2E" w:rsidRDefault="00461337" w:rsidP="00FC2603">
      <w:pPr>
        <w:tabs>
          <w:tab w:val="left" w:pos="1159"/>
        </w:tabs>
        <w:rPr>
          <w:lang w:val="en-US"/>
        </w:rPr>
      </w:pPr>
    </w:p>
    <w:sectPr w:rsidR="00461337" w:rsidRPr="009C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9EF"/>
    <w:multiLevelType w:val="hybridMultilevel"/>
    <w:tmpl w:val="534E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C3AA6"/>
    <w:multiLevelType w:val="hybridMultilevel"/>
    <w:tmpl w:val="A846F446"/>
    <w:lvl w:ilvl="0" w:tplc="691E355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1654558"/>
    <w:multiLevelType w:val="hybridMultilevel"/>
    <w:tmpl w:val="A7D4E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14F9B"/>
    <w:multiLevelType w:val="hybridMultilevel"/>
    <w:tmpl w:val="629096C4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2883409">
    <w:abstractNumId w:val="3"/>
  </w:num>
  <w:num w:numId="2" w16cid:durableId="545335162">
    <w:abstractNumId w:val="1"/>
  </w:num>
  <w:num w:numId="3" w16cid:durableId="1036665181">
    <w:abstractNumId w:val="2"/>
  </w:num>
  <w:num w:numId="4" w16cid:durableId="191327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67"/>
    <w:rsid w:val="00087F2A"/>
    <w:rsid w:val="000F427A"/>
    <w:rsid w:val="000F7936"/>
    <w:rsid w:val="001204E5"/>
    <w:rsid w:val="00322C9F"/>
    <w:rsid w:val="003670D8"/>
    <w:rsid w:val="003B696B"/>
    <w:rsid w:val="003C467E"/>
    <w:rsid w:val="0041430B"/>
    <w:rsid w:val="00461337"/>
    <w:rsid w:val="004664B0"/>
    <w:rsid w:val="00596A76"/>
    <w:rsid w:val="007E1870"/>
    <w:rsid w:val="00816442"/>
    <w:rsid w:val="00840E83"/>
    <w:rsid w:val="008E2067"/>
    <w:rsid w:val="00923803"/>
    <w:rsid w:val="009C5A2E"/>
    <w:rsid w:val="00C161D6"/>
    <w:rsid w:val="00C43129"/>
    <w:rsid w:val="00CE79D5"/>
    <w:rsid w:val="00CF7DA0"/>
    <w:rsid w:val="00D836ED"/>
    <w:rsid w:val="00DD6BD2"/>
    <w:rsid w:val="00E12B52"/>
    <w:rsid w:val="00E80987"/>
    <w:rsid w:val="00FB1498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0A4A"/>
  <w15:chartTrackingRefBased/>
  <w15:docId w15:val="{679CAA61-718F-1E49-AF9E-53DF494A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9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79D5"/>
    <w:pPr>
      <w:ind w:left="720"/>
      <w:contextualSpacing/>
    </w:pPr>
  </w:style>
  <w:style w:type="table" w:styleId="TableGrid">
    <w:name w:val="Table Grid"/>
    <w:basedOn w:val="TableNormal"/>
    <w:uiPriority w:val="39"/>
    <w:rsid w:val="00461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cc.gov.bd" TargetMode="External"/><Relationship Id="rId5" Type="http://schemas.openxmlformats.org/officeDocument/2006/relationships/hyperlink" Target="http://www.bangla.gov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</dc:creator>
  <cp:keywords/>
  <dc:description/>
  <cp:lastModifiedBy>razequl islam</cp:lastModifiedBy>
  <cp:revision>8</cp:revision>
  <dcterms:created xsi:type="dcterms:W3CDTF">2023-08-22T02:17:00Z</dcterms:created>
  <dcterms:modified xsi:type="dcterms:W3CDTF">2023-08-31T05:59:00Z</dcterms:modified>
</cp:coreProperties>
</file>