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pBdr>
          <w:bottom w:val="single" w:color="1F3864" w:sz="24" w:space="2"/>
        </w:pBdr>
        <w:spacing w:before="0" w:after="80"/>
      </w:pPr>
    </w:p>
    <w:p>
      <w:pPr>
        <w:spacing w:before="200" w:after="0"/>
      </w:pPr>
    </w:p>
    <w:p>
      <w:pPr>
        <w:spacing w:before="0" w:after="120"/>
        <w:jc w:val="left"/>
      </w:pPr>
      <w:r>
        <w:rPr>
          <w:rFonts w:ascii="Arial" w:cs="Arial" w:eastAsia="Arial" w:hAnsi="Arial"/>
          <w:b/>
          <w:bCs/>
          <w:caps/>
          <w:color w:val="2E5BBA"/>
          <w:sz w:val="22"/>
          <w:szCs w:val="22"/>
        </w:rPr>
        <w:t xml:space="preserve">FORMAL ANALYSIS REPORT</w:t>
      </w:r>
    </w:p>
    <w:p>
      <w:pPr>
        <w:spacing w:before="0" w:after="80"/>
        <w:jc w:val="left"/>
      </w:pPr>
      <w:r>
        <w:rPr>
          <w:rFonts w:ascii="Arial" w:cs="Arial" w:eastAsia="Arial" w:hAnsi="Arial"/>
          <w:b/>
          <w:bCs/>
          <w:color w:val="1F3864"/>
          <w:sz w:val="52"/>
          <w:szCs w:val="52"/>
        </w:rPr>
        <w:t xml:space="preserve">Indian Health Insurance Market</w:t>
      </w:r>
    </w:p>
    <w:p>
      <w:pPr>
        <w:spacing w:before="0" w:after="80"/>
        <w:jc w:val="left"/>
      </w:pPr>
      <w:r>
        <w:rPr>
          <w:rFonts w:ascii="Arial" w:cs="Arial" w:eastAsia="Arial" w:hAnsi="Arial"/>
          <w:b w:val="false"/>
          <w:bCs w:val="false"/>
          <w:color w:val="1F3864"/>
          <w:sz w:val="38"/>
          <w:szCs w:val="38"/>
        </w:rPr>
        <w:t xml:space="preserve">Structure, Performance &amp; Strategic Outlook</w:t>
      </w:r>
    </w:p>
    <w:p>
      <w:pPr>
        <w:spacing w:before="80" w:after="0"/>
      </w:pPr>
    </w:p>
    <w:p>
      <w:pPr>
        <w:pBdr>
          <w:bottom w:val="single" w:color="2E5BBA" w:sz="8" w:space="2"/>
        </w:pBdr>
        <w:spacing w:before="0" w:after="160"/>
      </w:pPr>
    </w:p>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Data Source</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IRDAI Handbook on Indian Insurance Statistics, Part III — Health Insurance</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Time Period</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FY 2013-14 through FY 2021-22  (9 consecutive financial years)</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Reference Period</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FY 2021-22  (primary analysis year)</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Prepared By</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Principal Data Analyst  |  Analytics &amp; Insights Centre of Excellence</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Report Date</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28 February 2026</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INTERNAL — For Senior Stakeholder &amp; Decision-Maker Distribution</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1.0  |  Final</w:t>
            </w:r>
          </w:p>
        </w:tc>
      </w:tr>
    </w:tbl>
    <w:p>
      <w:pPr>
        <w:spacing w:before="300" w:after="0"/>
      </w:pPr>
    </w:p>
    <w:p>
      <w:pPr>
        <w:spacing w:before="0" w:after="40"/>
        <w:jc w:val="left"/>
      </w:pPr>
      <w:r>
        <w:rPr>
          <w:rFonts w:ascii="Arial" w:cs="Arial" w:eastAsia="Arial" w:hAnsi="Arial"/>
          <w:i/>
          <w:iCs/>
          <w:color w:val="888888"/>
          <w:sz w:val="16"/>
          <w:szCs w:val="16"/>
        </w:rPr>
        <w:t xml:space="preserve">All monetary values in Indian Rupees (₹). Premium figures expressed in Crore (₹ Cr) unless otherwise noted. 1 Crore = 10 Million. Source unit ₹ Lakh preserved in underlying workbook.</w:t>
      </w:r>
    </w:p>
    <w:p>
      <w:pPr>
        <w:sectPr>
          <w:pgSz w:w="12240" w:h="15840" w:orient="portrait"/>
          <w:pgMar w:top="1080" w:right="1080" w:bottom="1080" w:left="1080" w:header="708" w:footer="708" w:gutter="0"/>
          <w:pgNumTyp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2</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EXECUTIVE SUMMARY</w:t>
            </w:r>
          </w:p>
        </w:tc>
      </w:tr>
    </w:tbl>
    <w:p>
      <w:pPr>
        <w:spacing w:before="120" w:after="0"/>
      </w:pPr>
    </w:p>
    <w:p>
      <w:pPr>
        <w:pStyle w:val="Heading2"/>
        <w:spacing w:before="240" w:after="80"/>
      </w:pPr>
      <w:r>
        <w:rPr>
          <w:rFonts w:ascii="Arial" w:cs="Arial" w:eastAsia="Arial" w:hAnsi="Arial"/>
          <w:b/>
          <w:bCs/>
          <w:color w:val="2E5BBA"/>
          <w:sz w:val="24"/>
          <w:szCs w:val="24"/>
        </w:rPr>
        <w:t xml:space="preserve">Purpose</w:t>
      </w:r>
    </w:p>
    <w:p>
      <w:pPr>
        <w:spacing w:before="60" w:after="60"/>
        <w:jc w:val="left"/>
      </w:pPr>
      <w:r>
        <w:rPr>
          <w:rFonts w:ascii="Arial" w:cs="Arial" w:eastAsia="Arial" w:hAnsi="Arial"/>
          <w:b w:val="false"/>
          <w:bCs w:val="false"/>
          <w:i w:val="false"/>
          <w:iCs w:val="false"/>
          <w:color w:val="000000"/>
          <w:sz w:val="20"/>
          <w:szCs w:val="20"/>
        </w:rPr>
        <w:t xml:space="preserve">This report presents the findings of a completed quantitative and qualitative analysis of the Indian health insurance market, drawing on data published by the Insurance Regulatory and Development Authority of India (IRDAI) for the nine-year period FY 2013-14 through FY 2021-22. The analysis was commissioned to support strategic decisions relating to market entry, competitive positioning, geographic expansion, and portfolio management within the health insurance sector.</w:t>
      </w:r>
    </w:p>
    <w:p>
      <w:pPr>
        <w:spacing w:before="80" w:after="0"/>
      </w:pPr>
    </w:p>
    <w:p>
      <w:pPr>
        <w:pStyle w:val="Heading2"/>
        <w:spacing w:before="240" w:after="80"/>
      </w:pPr>
      <w:r>
        <w:rPr>
          <w:rFonts w:ascii="Arial" w:cs="Arial" w:eastAsia="Arial" w:hAnsi="Arial"/>
          <w:b/>
          <w:bCs/>
          <w:color w:val="2E5BBA"/>
          <w:sz w:val="24"/>
          <w:szCs w:val="24"/>
        </w:rPr>
        <w:t xml:space="preserve">Key Findings</w:t>
      </w:r>
    </w:p>
    <w:p>
      <w:pPr>
        <w:spacing w:before="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6080"/>
        <w:gridCol w:w="960"/>
      </w:tblGrid>
      <w:tr>
        <w:tc>
          <w:tcPr>
            <w:tcW w:type="dxa" w:w="640"/>
            <w:tcBorders>
              <w:top w:val="single" w:color="2E5BBA" w:sz="4"/>
              <w:left w:val="single" w:color="2E5BBA" w:sz="4"/>
              <w:bottom w:val="single" w:color="2E5BBA" w:sz="4"/>
              <w:right w:val="single" w:color="2E5BBA" w:sz="4"/>
            </w:tcBorders>
            <w:shd w:fill="2E5BBA"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F1</w:t>
            </w:r>
          </w:p>
        </w:tc>
        <w:tc>
          <w:tcPr>
            <w:tcW w:type="dxa" w:w="24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Structural Market Growth</w:t>
            </w:r>
          </w:p>
        </w:tc>
        <w:tc>
          <w:tcPr>
            <w:tcW w:type="dxa" w:w="6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The market expanded at a 19.5% CAGR over nine years, reaching ₹73,052 Crore in FY 2021-22. Growth is durable, driven by rising healthcare costs, regulatory mandates, and expanding formal employment. This is not cyclical expansion.</w:t>
            </w:r>
          </w:p>
        </w:tc>
        <w:tc>
          <w:tcPr>
            <w:tcW w:type="dxa" w:w="96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HIGH</w:t>
            </w:r>
          </w:p>
        </w:tc>
      </w:tr>
    </w:tbl>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6080"/>
        <w:gridCol w:w="960"/>
      </w:tblGrid>
      <w:tr>
        <w:tc>
          <w:tcPr>
            <w:tcW w:type="dxa" w:w="640"/>
            <w:tcBorders>
              <w:top w:val="single" w:color="2E5BBA" w:sz="4"/>
              <w:left w:val="single" w:color="2E5BBA" w:sz="4"/>
              <w:bottom w:val="single" w:color="2E5BBA" w:sz="4"/>
              <w:right w:val="single" w:color="2E5BBA" w:sz="4"/>
            </w:tcBorders>
            <w:shd w:fill="2E5BBA"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F2</w:t>
            </w:r>
          </w:p>
        </w:tc>
        <w:tc>
          <w:tcPr>
            <w:tcW w:type="dxa" w:w="24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PSU Dominance Is Eroding</w:t>
            </w:r>
          </w:p>
        </w:tc>
        <w:tc>
          <w:tcPr>
            <w:tcW w:type="dxa" w:w="6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Public Sector Insurers (PSUs) have declined from 62% market share in FY14 to 45% in FY22. Private and SAHI combined now hold 55% and the trend is accelerating against PSUs.</w:t>
            </w:r>
          </w:p>
        </w:tc>
        <w:tc>
          <w:tcPr>
            <w:tcW w:type="dxa" w:w="96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HIGH</w:t>
            </w:r>
          </w:p>
        </w:tc>
      </w:tr>
    </w:tbl>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6080"/>
        <w:gridCol w:w="960"/>
      </w:tblGrid>
      <w:tr>
        <w:tc>
          <w:tcPr>
            <w:tcW w:type="dxa" w:w="640"/>
            <w:tcBorders>
              <w:top w:val="single" w:color="2E5BBA" w:sz="4"/>
              <w:left w:val="single" w:color="2E5BBA" w:sz="4"/>
              <w:bottom w:val="single" w:color="2E5BBA" w:sz="4"/>
              <w:right w:val="single" w:color="2E5BBA" w:sz="4"/>
            </w:tcBorders>
            <w:shd w:fill="2E5BBA"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F3</w:t>
            </w:r>
          </w:p>
        </w:tc>
        <w:tc>
          <w:tcPr>
            <w:tcW w:type="dxa" w:w="24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SAHI: Quality Growth Quadrant</w:t>
            </w:r>
          </w:p>
        </w:tc>
        <w:tc>
          <w:tcPr>
            <w:tcW w:type="dxa" w:w="6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Stand-alone Health Insurers achieved a 32.5% CAGR while simultaneously maintaining the lowest Incurred Claims Ratio (ICR) in the sector at 0.81. This combination of growth and underwriting discipline is uncommon and strategically significant.</w:t>
            </w:r>
          </w:p>
        </w:tc>
        <w:tc>
          <w:tcPr>
            <w:tcW w:type="dxa" w:w="96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HIGH</w:t>
            </w:r>
          </w:p>
        </w:tc>
      </w:tr>
    </w:tbl>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6080"/>
        <w:gridCol w:w="960"/>
      </w:tblGrid>
      <w:tr>
        <w:tc>
          <w:tcPr>
            <w:tcW w:type="dxa" w:w="640"/>
            <w:tcBorders>
              <w:top w:val="single" w:color="2E5BBA" w:sz="4"/>
              <w:left w:val="single" w:color="2E5BBA" w:sz="4"/>
              <w:bottom w:val="single" w:color="2E5BBA" w:sz="4"/>
              <w:right w:val="single" w:color="2E5BBA" w:sz="4"/>
            </w:tcBorders>
            <w:shd w:fill="2E5BBA"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F4</w:t>
            </w:r>
          </w:p>
        </w:tc>
        <w:tc>
          <w:tcPr>
            <w:tcW w:type="dxa" w:w="24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PSU ICR Is a Structural Problem</w:t>
            </w:r>
          </w:p>
        </w:tc>
        <w:tc>
          <w:tcPr>
            <w:tcW w:type="dxa" w:w="6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PSU ICR has exceeded 1.0 for every year in the dataset, reaching 1.26 in FY22. This represents a chronic structural deficit, not cyclical underperformance. Government Sponsored scheme under-pricing is the identified root cause.</w:t>
            </w:r>
          </w:p>
        </w:tc>
        <w:tc>
          <w:tcPr>
            <w:tcW w:type="dxa" w:w="96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HIGH</w:t>
            </w:r>
          </w:p>
        </w:tc>
      </w:tr>
    </w:tbl>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6080"/>
        <w:gridCol w:w="960"/>
      </w:tblGrid>
      <w:tr>
        <w:tc>
          <w:tcPr>
            <w:tcW w:type="dxa" w:w="640"/>
            <w:tcBorders>
              <w:top w:val="single" w:color="2E5BBA" w:sz="4"/>
              <w:left w:val="single" w:color="2E5BBA" w:sz="4"/>
              <w:bottom w:val="single" w:color="2E5BBA" w:sz="4"/>
              <w:right w:val="single" w:color="2E5BBA" w:sz="4"/>
            </w:tcBorders>
            <w:shd w:fill="2E5BBA"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F5</w:t>
            </w:r>
          </w:p>
        </w:tc>
        <w:tc>
          <w:tcPr>
            <w:tcW w:type="dxa" w:w="24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Severe Geographic Concentration</w:t>
            </w:r>
          </w:p>
        </w:tc>
        <w:tc>
          <w:tcPr>
            <w:tcW w:type="dxa" w:w="6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Maharashtra alone contributes 31.9% of national premium. The top five states account for 65.8%. Eighteen states and Union Territories each contribute less than 0.5%, indicating profound and persistent under-penetration across two-thirds of India's geography.</w:t>
            </w:r>
          </w:p>
        </w:tc>
        <w:tc>
          <w:tcPr>
            <w:tcW w:type="dxa" w:w="96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HIGH</w:t>
            </w:r>
          </w:p>
        </w:tc>
      </w:tr>
    </w:tbl>
    <w:p>
      <w:pPr>
        <w:spacing w:before="120" w:after="0"/>
      </w:pPr>
    </w:p>
    <w:p>
      <w:pPr>
        <w:pStyle w:val="Heading2"/>
        <w:spacing w:before="240" w:after="80"/>
      </w:pPr>
      <w:r>
        <w:rPr>
          <w:rFonts w:ascii="Arial" w:cs="Arial" w:eastAsia="Arial" w:hAnsi="Arial"/>
          <w:b/>
          <w:bCs/>
          <w:color w:val="2E5BBA"/>
          <w:sz w:val="24"/>
          <w:szCs w:val="24"/>
        </w:rPr>
        <w:t xml:space="preserve">High-Level Implications</w:t>
      </w:r>
    </w:p>
    <w:p>
      <w:pPr>
        <w:pStyle w:val="ListParagraph"/>
        <w:numPr>
          <w:ilvl w:val="0"/>
          <w:numId w:val="2"/>
        </w:numPr>
        <w:spacing w:before="40" w:after="40"/>
      </w:pPr>
      <w:r>
        <w:rPr>
          <w:rFonts w:ascii="Arial" w:cs="Arial" w:eastAsia="Arial" w:hAnsi="Arial"/>
          <w:b w:val="false"/>
          <w:bCs w:val="false"/>
          <w:color w:val="000000"/>
          <w:sz w:val="20"/>
          <w:szCs w:val="20"/>
        </w:rPr>
        <w:t xml:space="preserve">The SAHI segment presents the most compelling growth profile in the sector; entrants or scale-players in this segment operate with both structural tailwinds and a demonstrable underwriting advantage.</w:t>
      </w:r>
    </w:p>
    <w:p>
      <w:pPr>
        <w:pStyle w:val="ListParagraph"/>
        <w:numPr>
          <w:ilvl w:val="0"/>
          <w:numId w:val="2"/>
        </w:numPr>
        <w:spacing w:before="40" w:after="40"/>
      </w:pPr>
      <w:r>
        <w:rPr>
          <w:rFonts w:ascii="Arial" w:cs="Arial" w:eastAsia="Arial" w:hAnsi="Arial"/>
          <w:b w:val="false"/>
          <w:bCs w:val="false"/>
          <w:color w:val="000000"/>
          <w:sz w:val="20"/>
          <w:szCs w:val="20"/>
        </w:rPr>
        <w:t xml:space="preserve">PSU recapitalisation risk is material. If ICR trajectories continue, taxpayer-funded capital support cannot be ruled out within the medium term. This is a systemic risk for the sector.</w:t>
      </w:r>
    </w:p>
    <w:p>
      <w:pPr>
        <w:pStyle w:val="ListParagraph"/>
        <w:numPr>
          <w:ilvl w:val="0"/>
          <w:numId w:val="2"/>
        </w:numPr>
        <w:spacing w:before="40" w:after="40"/>
      </w:pPr>
      <w:r>
        <w:rPr>
          <w:rFonts w:ascii="Arial" w:cs="Arial" w:eastAsia="Arial" w:hAnsi="Arial"/>
          <w:b w:val="false"/>
          <w:bCs w:val="false"/>
          <w:color w:val="000000"/>
          <w:sz w:val="20"/>
          <w:szCs w:val="20"/>
        </w:rPr>
        <w:t xml:space="preserve">Geographic white-space is quantifiable and large. States such as Bihar, Jharkhand, Chhattisgarh, and Uttar Pradesh have premium-per-person densities below ₹500 against a national average of ₹1,403, pointing to addressable, not absent, demand.</w:t>
      </w:r>
    </w:p>
    <w:p>
      <w:pPr>
        <w:pStyle w:val="ListParagraph"/>
        <w:numPr>
          <w:ilvl w:val="0"/>
          <w:numId w:val="2"/>
        </w:numPr>
        <w:spacing w:before="40" w:after="40"/>
      </w:pPr>
      <w:r>
        <w:rPr>
          <w:rFonts w:ascii="Arial" w:cs="Arial" w:eastAsia="Arial" w:hAnsi="Arial"/>
          <w:b w:val="false"/>
          <w:bCs w:val="false"/>
          <w:color w:val="000000"/>
          <w:sz w:val="20"/>
          <w:szCs w:val="20"/>
        </w:rPr>
        <w:t xml:space="preserve">Star Health's dominance within SAHI (56.4% segment share) creates single-entity concentration risk at the segment level; any adverse development at Star Health would materially reshape the SAHI competitive landscape.</w:t>
      </w:r>
    </w:p>
    <w:p>
      <w:pPr>
        <w:spacing w:before="120" w:after="0"/>
      </w:pPr>
    </w:p>
    <w:p>
      <w:pPr>
        <w:pStyle w:val="Heading2"/>
        <w:spacing w:before="240" w:after="80"/>
      </w:pPr>
      <w:r>
        <w:rPr>
          <w:rFonts w:ascii="Arial" w:cs="Arial" w:eastAsia="Arial" w:hAnsi="Arial"/>
          <w:b/>
          <w:bCs/>
          <w:color w:val="2E5BBA"/>
          <w:sz w:val="24"/>
          <w:szCs w:val="24"/>
        </w:rPr>
        <w:t xml:space="preserve">Summary of Recommendations</w:t>
      </w:r>
    </w:p>
    <w:p>
      <w:pPr>
        <w:spacing w:before="60" w:after="60"/>
        <w:jc w:val="left"/>
      </w:pPr>
      <w:r>
        <w:rPr>
          <w:rFonts w:ascii="Arial" w:cs="Arial" w:eastAsia="Arial" w:hAnsi="Arial"/>
          <w:b w:val="false"/>
          <w:bCs w:val="false"/>
          <w:i w:val="false"/>
          <w:iCs w:val="false"/>
          <w:color w:val="000000"/>
          <w:sz w:val="20"/>
          <w:szCs w:val="20"/>
        </w:rPr>
        <w:t xml:space="preserve">Six recommendations are advanced, tiered by implementation horizon: two immediate-action items (geographic Tier 2 expansion and PSU ICR remediation), two medium-term initiatives (SAHI consolidation and product stratification for mass-market segments), and two strategic priorities (predictive claims intelligence and regulatory advocacy for systemic ICR governance). Full detail is provided in Section 9.</w:t>
      </w:r>
    </w:p>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3</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BUSINESS CONTEXT &amp; OBJECTIVES</w:t>
            </w:r>
          </w:p>
        </w:tc>
      </w:tr>
    </w:tbl>
    <w:p>
      <w:pPr>
        <w:spacing w:before="120" w:after="0"/>
      </w:pPr>
    </w:p>
    <w:p>
      <w:pPr>
        <w:pStyle w:val="Heading2"/>
        <w:spacing w:before="240" w:after="80"/>
      </w:pPr>
      <w:r>
        <w:rPr>
          <w:rFonts w:ascii="Arial" w:cs="Arial" w:eastAsia="Arial" w:hAnsi="Arial"/>
          <w:b/>
          <w:bCs/>
          <w:color w:val="2E5BBA"/>
          <w:sz w:val="24"/>
          <w:szCs w:val="24"/>
        </w:rPr>
        <w:t xml:space="preserve">Background and Problem Context</w:t>
      </w:r>
    </w:p>
    <w:p>
      <w:pPr>
        <w:spacing w:before="60" w:after="60"/>
        <w:jc w:val="left"/>
      </w:pPr>
      <w:r>
        <w:rPr>
          <w:rFonts w:ascii="Arial" w:cs="Arial" w:eastAsia="Arial" w:hAnsi="Arial"/>
          <w:b w:val="false"/>
          <w:bCs w:val="false"/>
          <w:i w:val="false"/>
          <w:iCs w:val="false"/>
          <w:color w:val="000000"/>
          <w:sz w:val="20"/>
          <w:szCs w:val="20"/>
        </w:rPr>
        <w:t xml:space="preserve">India's health insurance market sits at a structural inflection point. The country carries one of the largest uninsured population burdens globally, yet penetration has grown rapidly over the past decade as a combination of regulatory mandates, rising income levels, post-pandemic awareness, and government flagship programmes (notably Ayushman Bharat–Pradhan Mantri Jan Arogya Yojana, AB-PMJAY) has brought hundreds of millions of new lives into formal coverage.</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Against this backdrop, two structural tensions are shaping market dynamics: first, public sector insurers are under financial stress despite holding dominant market positions; second, a newer class of specialist health insurers (SAHIs) is growing rapidly and outperforming on every key operating metric. Understanding the quantitative dimensions of these dynamics is essential to strategy, policy, and investment decisions across the ecosystem.</w:t>
      </w:r>
    </w:p>
    <w:p>
      <w:pPr>
        <w:spacing w:before="80" w:after="0"/>
      </w:pPr>
    </w:p>
    <w:p>
      <w:pPr>
        <w:pStyle w:val="Heading2"/>
        <w:spacing w:before="240" w:after="80"/>
      </w:pPr>
      <w:r>
        <w:rPr>
          <w:rFonts w:ascii="Arial" w:cs="Arial" w:eastAsia="Arial" w:hAnsi="Arial"/>
          <w:b/>
          <w:bCs/>
          <w:color w:val="2E5BBA"/>
          <w:sz w:val="24"/>
          <w:szCs w:val="24"/>
        </w:rPr>
        <w:t xml:space="preserve">Why This Analysis Was Conducted</w:t>
      </w:r>
    </w:p>
    <w:p>
      <w:pPr>
        <w:pStyle w:val="ListParagraph"/>
        <w:numPr>
          <w:ilvl w:val="0"/>
          <w:numId w:val="2"/>
        </w:numPr>
        <w:spacing w:before="40" w:after="40"/>
      </w:pPr>
      <w:r>
        <w:rPr>
          <w:rFonts w:ascii="Arial" w:cs="Arial" w:eastAsia="Arial" w:hAnsi="Arial"/>
          <w:b w:val="false"/>
          <w:bCs w:val="false"/>
          <w:color w:val="000000"/>
          <w:sz w:val="20"/>
          <w:szCs w:val="20"/>
        </w:rPr>
        <w:t xml:space="preserve">To provide a data-grounded picture of the competitive landscape as of FY 2021-22, the most recent publicly available regulatory data.</w:t>
      </w:r>
    </w:p>
    <w:p>
      <w:pPr>
        <w:pStyle w:val="ListParagraph"/>
        <w:numPr>
          <w:ilvl w:val="0"/>
          <w:numId w:val="2"/>
        </w:numPr>
        <w:spacing w:before="40" w:after="40"/>
      </w:pPr>
      <w:r>
        <w:rPr>
          <w:rFonts w:ascii="Arial" w:cs="Arial" w:eastAsia="Arial" w:hAnsi="Arial"/>
          <w:b w:val="false"/>
          <w:bCs w:val="false"/>
          <w:color w:val="000000"/>
          <w:sz w:val="20"/>
          <w:szCs w:val="20"/>
        </w:rPr>
        <w:t xml:space="preserve">To identify structural trends in market share, premium growth, and claims efficiency across insurer categories over the full nine-year published horizon.</w:t>
      </w:r>
    </w:p>
    <w:p>
      <w:pPr>
        <w:pStyle w:val="ListParagraph"/>
        <w:numPr>
          <w:ilvl w:val="0"/>
          <w:numId w:val="2"/>
        </w:numPr>
        <w:spacing w:before="40" w:after="40"/>
      </w:pPr>
      <w:r>
        <w:rPr>
          <w:rFonts w:ascii="Arial" w:cs="Arial" w:eastAsia="Arial" w:hAnsi="Arial"/>
          <w:b w:val="false"/>
          <w:bCs w:val="false"/>
          <w:color w:val="000000"/>
          <w:sz w:val="20"/>
          <w:szCs w:val="20"/>
        </w:rPr>
        <w:t xml:space="preserve">To diagnose the severity and trajectory of the PSU underwriting deficit.</w:t>
      </w:r>
    </w:p>
    <w:p>
      <w:pPr>
        <w:pStyle w:val="ListParagraph"/>
        <w:numPr>
          <w:ilvl w:val="0"/>
          <w:numId w:val="2"/>
        </w:numPr>
        <w:spacing w:before="40" w:after="40"/>
      </w:pPr>
      <w:r>
        <w:rPr>
          <w:rFonts w:ascii="Arial" w:cs="Arial" w:eastAsia="Arial" w:hAnsi="Arial"/>
          <w:b w:val="false"/>
          <w:bCs w:val="false"/>
          <w:color w:val="000000"/>
          <w:sz w:val="20"/>
          <w:szCs w:val="20"/>
        </w:rPr>
        <w:t xml:space="preserve">To map geographic distribution of premium and identify under-penetrated markets with quantified expansion potential.</w:t>
      </w:r>
    </w:p>
    <w:p>
      <w:pPr>
        <w:pStyle w:val="ListParagraph"/>
        <w:numPr>
          <w:ilvl w:val="0"/>
          <w:numId w:val="2"/>
        </w:numPr>
        <w:spacing w:before="40" w:after="40"/>
      </w:pPr>
      <w:r>
        <w:rPr>
          <w:rFonts w:ascii="Arial" w:cs="Arial" w:eastAsia="Arial" w:hAnsi="Arial"/>
          <w:b w:val="false"/>
          <w:bCs w:val="false"/>
          <w:color w:val="000000"/>
          <w:sz w:val="20"/>
          <w:szCs w:val="20"/>
        </w:rPr>
        <w:t xml:space="preserve">To rank individual insurers on a composite performance framework to support benchmarking and M&amp;A screening.</w:t>
      </w:r>
    </w:p>
    <w:p>
      <w:pPr>
        <w:spacing w:before="80" w:after="0"/>
      </w:pPr>
    </w:p>
    <w:p>
      <w:pPr>
        <w:pStyle w:val="Heading2"/>
        <w:spacing w:before="240" w:after="80"/>
      </w:pPr>
      <w:r>
        <w:rPr>
          <w:rFonts w:ascii="Arial" w:cs="Arial" w:eastAsia="Arial" w:hAnsi="Arial"/>
          <w:b/>
          <w:bCs/>
          <w:color w:val="2E5BBA"/>
          <w:sz w:val="24"/>
          <w:szCs w:val="24"/>
        </w:rPr>
        <w:t xml:space="preserve">Primary Objectives</w:t>
      </w:r>
    </w:p>
    <w:p>
      <w:pPr>
        <w:spacing w:before="60" w:after="60"/>
        <w:jc w:val="left"/>
      </w:pPr>
      <w:r>
        <w:rPr>
          <w:rFonts w:ascii="Arial" w:cs="Arial" w:eastAsia="Arial" w:hAnsi="Arial"/>
          <w:b w:val="false"/>
          <w:bCs w:val="false"/>
          <w:i w:val="false"/>
          <w:iCs w:val="false"/>
          <w:color w:val="000000"/>
          <w:sz w:val="20"/>
          <w:szCs w:val="20"/>
        </w:rPr>
        <w:t xml:space="preserve">The analysis was structured around five primary objectives:</w:t>
      </w:r>
    </w:p>
    <w:p>
      <w:pPr>
        <w:pStyle w:val="ListParagraph"/>
        <w:numPr>
          <w:ilvl w:val="0"/>
          <w:numId w:val="2"/>
        </w:numPr>
        <w:spacing w:before="40" w:after="40"/>
      </w:pPr>
      <w:r>
        <w:rPr>
          <w:rFonts w:ascii="Arial" w:cs="Arial" w:eastAsia="Arial" w:hAnsi="Arial"/>
          <w:b w:val="false"/>
          <w:bCs w:val="false"/>
          <w:color w:val="000000"/>
          <w:sz w:val="20"/>
          <w:szCs w:val="20"/>
        </w:rPr>
        <w:t xml:space="preserve">Market Sizing &amp; Structure: Quantify the market across insurer categories, segments, and time horizons.</w:t>
      </w:r>
    </w:p>
    <w:p>
      <w:pPr>
        <w:pStyle w:val="ListParagraph"/>
        <w:numPr>
          <w:ilvl w:val="0"/>
          <w:numId w:val="2"/>
        </w:numPr>
        <w:spacing w:before="40" w:after="40"/>
      </w:pPr>
      <w:r>
        <w:rPr>
          <w:rFonts w:ascii="Arial" w:cs="Arial" w:eastAsia="Arial" w:hAnsi="Arial"/>
          <w:b w:val="false"/>
          <w:bCs w:val="false"/>
          <w:color w:val="000000"/>
          <w:sz w:val="20"/>
          <w:szCs w:val="20"/>
        </w:rPr>
        <w:t xml:space="preserve">Competitive Benchmarking: Score and rank all 17 individually reported insurers on growth, underwriting efficiency, and a composite Growth-Quality Index.</w:t>
      </w:r>
    </w:p>
    <w:p>
      <w:pPr>
        <w:pStyle w:val="ListParagraph"/>
        <w:numPr>
          <w:ilvl w:val="0"/>
          <w:numId w:val="2"/>
        </w:numPr>
        <w:spacing w:before="40" w:after="40"/>
      </w:pPr>
      <w:r>
        <w:rPr>
          <w:rFonts w:ascii="Arial" w:cs="Arial" w:eastAsia="Arial" w:hAnsi="Arial"/>
          <w:b w:val="false"/>
          <w:bCs w:val="false"/>
          <w:color w:val="000000"/>
          <w:sz w:val="20"/>
          <w:szCs w:val="20"/>
        </w:rPr>
        <w:t xml:space="preserve">Underwriting Risk Assessment: Assess the severity of claims versus premium mismatch, with particular focus on PSU performance.</w:t>
      </w:r>
    </w:p>
    <w:p>
      <w:pPr>
        <w:pStyle w:val="ListParagraph"/>
        <w:numPr>
          <w:ilvl w:val="0"/>
          <w:numId w:val="2"/>
        </w:numPr>
        <w:spacing w:before="40" w:after="40"/>
      </w:pPr>
      <w:r>
        <w:rPr>
          <w:rFonts w:ascii="Arial" w:cs="Arial" w:eastAsia="Arial" w:hAnsi="Arial"/>
          <w:b w:val="false"/>
          <w:bCs w:val="false"/>
          <w:color w:val="000000"/>
          <w:sz w:val="20"/>
          <w:szCs w:val="20"/>
        </w:rPr>
        <w:t xml:space="preserve">Geographic Analysis: Identify and quantify premium concentration and expansion opportunity at the state level.</w:t>
      </w:r>
    </w:p>
    <w:p>
      <w:pPr>
        <w:pStyle w:val="ListParagraph"/>
        <w:numPr>
          <w:ilvl w:val="0"/>
          <w:numId w:val="2"/>
        </w:numPr>
        <w:spacing w:before="40" w:after="40"/>
      </w:pPr>
      <w:r>
        <w:rPr>
          <w:rFonts w:ascii="Arial" w:cs="Arial" w:eastAsia="Arial" w:hAnsi="Arial"/>
          <w:b w:val="false"/>
          <w:bCs w:val="false"/>
          <w:color w:val="000000"/>
          <w:sz w:val="20"/>
          <w:szCs w:val="20"/>
        </w:rPr>
        <w:t xml:space="preserve">Strategic Decision Support: Translate quantitative findings into actionable, evidence-grounded recommendations.</w:t>
      </w:r>
    </w:p>
    <w:p>
      <w:pPr>
        <w:spacing w:before="80" w:after="0"/>
      </w:pPr>
    </w:p>
    <w:p>
      <w:pPr>
        <w:pStyle w:val="Heading2"/>
        <w:spacing w:before="240" w:after="80"/>
      </w:pPr>
      <w:r>
        <w:rPr>
          <w:rFonts w:ascii="Arial" w:cs="Arial" w:eastAsia="Arial" w:hAnsi="Arial"/>
          <w:b/>
          <w:bCs/>
          <w:color w:val="2E5BBA"/>
          <w:sz w:val="24"/>
          <w:szCs w:val="24"/>
        </w:rPr>
        <w:t xml:space="preserve">Decisions This Report Is Meant to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Area</w:t>
            </w:r>
          </w:p>
        </w:tc>
        <w:tc>
          <w:tcPr>
            <w:tcW w:type="dxa" w:w="6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 Question Addressed</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Market Entry / Expansion</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Which insurer category and geographic markets offer the best risk-adjusted growth opportunity?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Portfolio Strategy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Which insurer segments merit investment, partnership, or avoidance on the basis of financial health?</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M&amp;A Screening</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Which SAHI or Private insurers represent attractive consolidation targets?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Policy &amp; Regulatory Engagement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Where are the systemic risks and what interventions are evidence-supported?</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Product Development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Which demographic and geographic segments are under-served and at what scale?</w:t>
            </w:r>
          </w:p>
        </w:tc>
      </w:tr>
    </w:tbl>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4</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SCOPE &amp; ASSUMPTIONS</w:t>
            </w:r>
          </w:p>
        </w:tc>
      </w:tr>
    </w:tbl>
    <w:p>
      <w:pPr>
        <w:spacing w:before="120" w:after="0"/>
      </w:pPr>
    </w:p>
    <w:p>
      <w:pPr>
        <w:pStyle w:val="Heading2"/>
        <w:spacing w:before="240" w:after="80"/>
      </w:pPr>
      <w:r>
        <w:rPr>
          <w:rFonts w:ascii="Arial" w:cs="Arial" w:eastAsia="Arial" w:hAnsi="Arial"/>
          <w:b/>
          <w:bCs/>
          <w:color w:val="2E5BBA"/>
          <w:sz w:val="24"/>
          <w:szCs w:val="24"/>
        </w:rPr>
        <w:t xml:space="preserve">What Was Included</w:t>
      </w:r>
    </w:p>
    <w:p>
      <w:pPr>
        <w:pStyle w:val="ListParagraph"/>
        <w:numPr>
          <w:ilvl w:val="0"/>
          <w:numId w:val="2"/>
        </w:numPr>
        <w:spacing w:before="40" w:after="40"/>
      </w:pPr>
      <w:r>
        <w:rPr>
          <w:rFonts w:ascii="Arial" w:cs="Arial" w:eastAsia="Arial" w:hAnsi="Arial"/>
          <w:b w:val="false"/>
          <w:bCs w:val="false"/>
          <w:color w:val="000000"/>
          <w:sz w:val="20"/>
          <w:szCs w:val="20"/>
        </w:rPr>
        <w:t xml:space="preserve">All data tables from IRDAI Handbook Part III (Health Insurance) covering FY 2013-14 through FY 2021-22.</w:t>
      </w:r>
    </w:p>
    <w:p>
      <w:pPr>
        <w:pStyle w:val="ListParagraph"/>
        <w:numPr>
          <w:ilvl w:val="0"/>
          <w:numId w:val="2"/>
        </w:numPr>
        <w:spacing w:before="40" w:after="40"/>
      </w:pPr>
      <w:r>
        <w:rPr>
          <w:rFonts w:ascii="Arial" w:cs="Arial" w:eastAsia="Arial" w:hAnsi="Arial"/>
          <w:b w:val="false"/>
          <w:bCs w:val="false"/>
          <w:color w:val="000000"/>
          <w:sz w:val="20"/>
          <w:szCs w:val="20"/>
        </w:rPr>
        <w:t xml:space="preserve">Primary analysis datasets: Table 62 (Policies, Persons Covered, Gross Premium), Table 66 (Net Earned Premium, Claims Incurred, ICR), and Table 71 (State-wise Health Insurance Business).</w:t>
      </w:r>
    </w:p>
    <w:p>
      <w:pPr>
        <w:pStyle w:val="ListParagraph"/>
        <w:numPr>
          <w:ilvl w:val="0"/>
          <w:numId w:val="2"/>
        </w:numPr>
        <w:spacing w:before="40" w:after="40"/>
      </w:pPr>
      <w:r>
        <w:rPr>
          <w:rFonts w:ascii="Arial" w:cs="Arial" w:eastAsia="Arial" w:hAnsi="Arial"/>
          <w:b w:val="false"/>
          <w:bCs w:val="false"/>
          <w:color w:val="000000"/>
          <w:sz w:val="20"/>
          <w:szCs w:val="20"/>
        </w:rPr>
        <w:t xml:space="preserve">All 17 individually reported insurers across PSU, Private General, and SAHI categories.</w:t>
      </w:r>
    </w:p>
    <w:p>
      <w:pPr>
        <w:pStyle w:val="ListParagraph"/>
        <w:numPr>
          <w:ilvl w:val="0"/>
          <w:numId w:val="2"/>
        </w:numPr>
        <w:spacing w:before="40" w:after="40"/>
      </w:pPr>
      <w:r>
        <w:rPr>
          <w:rFonts w:ascii="Arial" w:cs="Arial" w:eastAsia="Arial" w:hAnsi="Arial"/>
          <w:b w:val="false"/>
          <w:bCs w:val="false"/>
          <w:color w:val="000000"/>
          <w:sz w:val="20"/>
          <w:szCs w:val="20"/>
        </w:rPr>
        <w:t xml:space="preserve">Nine financial years of time-series data, enabling both trend and structural analysis.</w:t>
      </w:r>
    </w:p>
    <w:p>
      <w:pPr>
        <w:pStyle w:val="ListParagraph"/>
        <w:numPr>
          <w:ilvl w:val="0"/>
          <w:numId w:val="2"/>
        </w:numPr>
        <w:spacing w:before="40" w:after="40"/>
      </w:pPr>
      <w:r>
        <w:rPr>
          <w:rFonts w:ascii="Arial" w:cs="Arial" w:eastAsia="Arial" w:hAnsi="Arial"/>
          <w:b w:val="false"/>
          <w:bCs w:val="false"/>
          <w:color w:val="000000"/>
          <w:sz w:val="20"/>
          <w:szCs w:val="20"/>
        </w:rPr>
        <w:t xml:space="preserve">All 36 states and Union Territories with available data for geographic distribution analysis.</w:t>
      </w:r>
    </w:p>
    <w:p>
      <w:pPr>
        <w:spacing w:before="80" w:after="0"/>
      </w:pPr>
    </w:p>
    <w:p>
      <w:pPr>
        <w:pStyle w:val="Heading2"/>
        <w:spacing w:before="240" w:after="80"/>
      </w:pPr>
      <w:r>
        <w:rPr>
          <w:rFonts w:ascii="Arial" w:cs="Arial" w:eastAsia="Arial" w:hAnsi="Arial"/>
          <w:b/>
          <w:bCs/>
          <w:color w:val="2E5BBA"/>
          <w:sz w:val="24"/>
          <w:szCs w:val="24"/>
        </w:rPr>
        <w:t xml:space="preserve">What Was Excluded</w:t>
      </w:r>
    </w:p>
    <w:p>
      <w:pPr>
        <w:pStyle w:val="ListParagraph"/>
        <w:numPr>
          <w:ilvl w:val="0"/>
          <w:numId w:val="2"/>
        </w:numPr>
        <w:spacing w:before="40" w:after="40"/>
      </w:pPr>
      <w:r>
        <w:rPr>
          <w:rFonts w:ascii="Arial" w:cs="Arial" w:eastAsia="Arial" w:hAnsi="Arial"/>
          <w:b w:val="false"/>
          <w:bCs w:val="false"/>
          <w:color w:val="000000"/>
          <w:sz w:val="20"/>
          <w:szCs w:val="20"/>
        </w:rPr>
        <w:t xml:space="preserve">Personal Accident Insurance (Table 63) — product characteristics differ materially from indemnity health; excluded to maintain analytical focus.</w:t>
      </w:r>
    </w:p>
    <w:p>
      <w:pPr>
        <w:pStyle w:val="ListParagraph"/>
        <w:numPr>
          <w:ilvl w:val="0"/>
          <w:numId w:val="2"/>
        </w:numPr>
        <w:spacing w:before="40" w:after="40"/>
      </w:pPr>
      <w:r>
        <w:rPr>
          <w:rFonts w:ascii="Arial" w:cs="Arial" w:eastAsia="Arial" w:hAnsi="Arial"/>
          <w:b w:val="false"/>
          <w:bCs w:val="false"/>
          <w:color w:val="000000"/>
          <w:sz w:val="20"/>
          <w:szCs w:val="20"/>
        </w:rPr>
        <w:t xml:space="preserve">Travel Insurance — out of scope for this market assessment.</w:t>
      </w:r>
    </w:p>
    <w:p>
      <w:pPr>
        <w:pStyle w:val="ListParagraph"/>
        <w:numPr>
          <w:ilvl w:val="0"/>
          <w:numId w:val="2"/>
        </w:numPr>
        <w:spacing w:before="40" w:after="40"/>
      </w:pPr>
      <w:r>
        <w:rPr>
          <w:rFonts w:ascii="Arial" w:cs="Arial" w:eastAsia="Arial" w:hAnsi="Arial"/>
          <w:b w:val="false"/>
          <w:bCs w:val="false"/>
          <w:color w:val="000000"/>
          <w:sz w:val="20"/>
          <w:szCs w:val="20"/>
        </w:rPr>
        <w:t xml:space="preserve">FY 2022-23 and beyond — no IRDAI Handbook data published for these years as of the report date.</w:t>
      </w:r>
    </w:p>
    <w:p>
      <w:pPr>
        <w:pStyle w:val="ListParagraph"/>
        <w:numPr>
          <w:ilvl w:val="0"/>
          <w:numId w:val="2"/>
        </w:numPr>
        <w:spacing w:before="40" w:after="40"/>
      </w:pPr>
      <w:r>
        <w:rPr>
          <w:rFonts w:ascii="Arial" w:cs="Arial" w:eastAsia="Arial" w:hAnsi="Arial"/>
          <w:b w:val="false"/>
          <w:bCs w:val="false"/>
          <w:color w:val="000000"/>
          <w:sz w:val="20"/>
          <w:szCs w:val="20"/>
        </w:rPr>
        <w:t xml:space="preserve">TPA network granularity (Table 82) — 1,105-row provider-level data set noted as requiring separate analysis; used only as contextual reference.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Reinsurance structures, capital adequacy ratios, and solvency margins — not available in the public IRDAI Handbook.</w:t>
      </w:r>
    </w:p>
    <w:p>
      <w:pPr>
        <w:spacing w:before="80" w:after="0"/>
      </w:pPr>
    </w:p>
    <w:p>
      <w:pPr>
        <w:pStyle w:val="Heading2"/>
        <w:spacing w:before="240" w:after="80"/>
      </w:pPr>
      <w:r>
        <w:rPr>
          <w:rFonts w:ascii="Arial" w:cs="Arial" w:eastAsia="Arial" w:hAnsi="Arial"/>
          <w:b/>
          <w:bCs/>
          <w:color w:val="2E5BBA"/>
          <w:sz w:val="24"/>
          <w:szCs w:val="24"/>
        </w:rPr>
        <w:t xml:space="preserve">Key Assumptions</w:t>
      </w:r>
    </w:p>
    <w:p>
      <w:pPr>
        <w:pStyle w:val="ListParagraph"/>
        <w:numPr>
          <w:ilvl w:val="0"/>
          <w:numId w:val="2"/>
        </w:numPr>
        <w:spacing w:before="40" w:after="40"/>
      </w:pPr>
      <w:r>
        <w:rPr>
          <w:rFonts w:ascii="Arial" w:cs="Arial" w:eastAsia="Arial" w:hAnsi="Arial"/>
          <w:b w:val="false"/>
          <w:bCs w:val="false"/>
          <w:color w:val="000000"/>
          <w:sz w:val="20"/>
          <w:szCs w:val="20"/>
        </w:rPr>
        <w:t xml:space="preserve">Continuity of Government Sponsored scheme: The transition from RSBY to AB-PMJAY (2018-19 onwards) involves a methodological break in segment labelling. Both are treated under a unified 'Government Sponsored' label; directional comparisons across the 2017-18 / 2018-19 boundary are noted as estimates.</w:t>
      </w:r>
    </w:p>
    <w:p>
      <w:pPr>
        <w:pStyle w:val="ListParagraph"/>
        <w:numPr>
          <w:ilvl w:val="0"/>
          <w:numId w:val="2"/>
        </w:numPr>
        <w:spacing w:before="40" w:after="40"/>
      </w:pPr>
      <w:r>
        <w:rPr>
          <w:rFonts w:ascii="Arial" w:cs="Arial" w:eastAsia="Arial" w:hAnsi="Arial"/>
          <w:b w:val="false"/>
          <w:bCs w:val="false"/>
          <w:color w:val="000000"/>
          <w:sz w:val="20"/>
          <w:szCs w:val="20"/>
        </w:rPr>
        <w:t xml:space="preserve">Negative premium anomaly: Reliance Health Insurance reported a nominal negative premium figure (₹-2 Lakh) in FY 2021-22. This is treated as a regulatory filing adjustment, is immaterial at less than 0.000003% of sector total, and is excluded from trend analysis for that entity.</w:t>
      </w:r>
    </w:p>
    <w:p>
      <w:pPr>
        <w:pStyle w:val="ListParagraph"/>
        <w:numPr>
          <w:ilvl w:val="0"/>
          <w:numId w:val="2"/>
        </w:numPr>
        <w:spacing w:before="40" w:after="40"/>
      </w:pPr>
      <w:r>
        <w:rPr>
          <w:rFonts w:ascii="Arial" w:cs="Arial" w:eastAsia="Arial" w:hAnsi="Arial"/>
          <w:b w:val="false"/>
          <w:bCs w:val="false"/>
          <w:color w:val="000000"/>
          <w:sz w:val="20"/>
          <w:szCs w:val="20"/>
        </w:rPr>
        <w:t xml:space="preserve">HDFC ERGO merger: Following the merger of HDFC ERGO and L&amp;T General Insurance in January 2017, the post-merger continuing entity (row 19 in Table 62) is used for all analysis. The pre-merger L&amp;T entity row is treated as a historical footnote.</w:t>
      </w:r>
    </w:p>
    <w:p>
      <w:pPr>
        <w:pStyle w:val="ListParagraph"/>
        <w:numPr>
          <w:ilvl w:val="0"/>
          <w:numId w:val="2"/>
        </w:numPr>
        <w:spacing w:before="40" w:after="40"/>
      </w:pPr>
      <w:r>
        <w:rPr>
          <w:rFonts w:ascii="Arial" w:cs="Arial" w:eastAsia="Arial" w:hAnsi="Arial"/>
          <w:b w:val="false"/>
          <w:bCs w:val="false"/>
          <w:color w:val="000000"/>
          <w:sz w:val="20"/>
          <w:szCs w:val="20"/>
        </w:rPr>
        <w:t xml:space="preserve">Growth-Quality Index (GQI): The composite insurer ranking metric uses equal weighting (50% CAGR rank, 50% underwriting efficiency rank). This weighting is a deliberate simplification and can be adjusted for specific stakeholder contexts.</w:t>
      </w:r>
    </w:p>
    <w:p>
      <w:pPr>
        <w:pStyle w:val="ListParagraph"/>
        <w:numPr>
          <w:ilvl w:val="0"/>
          <w:numId w:val="2"/>
        </w:numPr>
        <w:spacing w:before="40" w:after="40"/>
      </w:pPr>
      <w:r>
        <w:rPr>
          <w:rFonts w:ascii="Arial" w:cs="Arial" w:eastAsia="Arial" w:hAnsi="Arial"/>
          <w:b w:val="false"/>
          <w:bCs w:val="false"/>
          <w:color w:val="000000"/>
          <w:sz w:val="20"/>
          <w:szCs w:val="20"/>
        </w:rPr>
        <w:t xml:space="preserve">Currency: All premium values are expressed in ₹ Crore in this report for readability (1 Crore = 100 Lakh). Underlying analysis data is in ₹ Lakh as per IRDAI source.</w:t>
      </w:r>
    </w:p>
    <w:p>
      <w:pPr>
        <w:spacing w:before="80" w:after="0"/>
      </w:pPr>
    </w:p>
    <w:p>
      <w:pPr>
        <w:pStyle w:val="Heading2"/>
        <w:spacing w:before="240" w:after="80"/>
      </w:pPr>
      <w:r>
        <w:rPr>
          <w:rFonts w:ascii="Arial" w:cs="Arial" w:eastAsia="Arial" w:hAnsi="Arial"/>
          <w:b/>
          <w:bCs/>
          <w:color w:val="2E5BBA"/>
          <w:sz w:val="24"/>
          <w:szCs w:val="24"/>
        </w:rPr>
        <w:t xml:space="preserve">Constraints and Dependencies</w:t>
      </w:r>
    </w:p>
    <w:p>
      <w:pPr>
        <w:pStyle w:val="ListParagraph"/>
        <w:numPr>
          <w:ilvl w:val="0"/>
          <w:numId w:val="2"/>
        </w:numPr>
        <w:spacing w:before="40" w:after="40"/>
      </w:pPr>
      <w:r>
        <w:rPr>
          <w:rFonts w:ascii="Arial" w:cs="Arial" w:eastAsia="Arial" w:hAnsi="Arial"/>
          <w:b w:val="false"/>
          <w:bCs w:val="false"/>
          <w:color w:val="000000"/>
          <w:sz w:val="20"/>
          <w:szCs w:val="20"/>
        </w:rPr>
        <w:t xml:space="preserve">The analysis is bounded by the completeness and accuracy of IRDAI's published data. No independent field verification was conducted.</w:t>
      </w:r>
    </w:p>
    <w:p>
      <w:pPr>
        <w:pStyle w:val="ListParagraph"/>
        <w:numPr>
          <w:ilvl w:val="0"/>
          <w:numId w:val="2"/>
        </w:numPr>
        <w:spacing w:before="40" w:after="40"/>
      </w:pPr>
      <w:r>
        <w:rPr>
          <w:rFonts w:ascii="Arial" w:cs="Arial" w:eastAsia="Arial" w:hAnsi="Arial"/>
          <w:b w:val="false"/>
          <w:bCs w:val="false"/>
          <w:color w:val="000000"/>
          <w:sz w:val="20"/>
          <w:szCs w:val="20"/>
        </w:rPr>
        <w:t xml:space="preserve">ICR analysis is limited to the total (all segments combined) view per insurer. Segment-level ICR data is available in the source but would require additional decomposition for product-line diagnostics.</w:t>
      </w:r>
    </w:p>
    <w:p>
      <w:pPr>
        <w:pStyle w:val="ListParagraph"/>
        <w:numPr>
          <w:ilvl w:val="0"/>
          <w:numId w:val="2"/>
        </w:numPr>
        <w:spacing w:before="40" w:after="40"/>
      </w:pPr>
      <w:r>
        <w:rPr>
          <w:rFonts w:ascii="Arial" w:cs="Arial" w:eastAsia="Arial" w:hAnsi="Arial"/>
          <w:b w:val="false"/>
          <w:bCs w:val="false"/>
          <w:color w:val="000000"/>
          <w:sz w:val="20"/>
          <w:szCs w:val="20"/>
        </w:rPr>
        <w:t xml:space="preserve">Geographic analysis is at the state level only; district-level or sub-state segmentation would require supplementary data sources.</w:t>
      </w:r>
    </w:p>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5</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DATA OVERVIEW</w:t>
            </w:r>
          </w:p>
        </w:tc>
      </w:tr>
    </w:tbl>
    <w:p>
      <w:pPr>
        <w:spacing w:before="120" w:after="0"/>
      </w:pPr>
    </w:p>
    <w:p>
      <w:pPr>
        <w:pStyle w:val="Heading2"/>
        <w:spacing w:before="240" w:after="80"/>
      </w:pPr>
      <w:r>
        <w:rPr>
          <w:rFonts w:ascii="Arial" w:cs="Arial" w:eastAsia="Arial" w:hAnsi="Arial"/>
          <w:b/>
          <w:bCs/>
          <w:color w:val="2E5BBA"/>
          <w:sz w:val="24"/>
          <w:szCs w:val="24"/>
        </w:rPr>
        <w:t xml:space="preserve">Data Source</w:t>
      </w:r>
    </w:p>
    <w:p>
      <w:pPr>
        <w:spacing w:before="60" w:after="60"/>
        <w:jc w:val="left"/>
      </w:pPr>
      <w:r>
        <w:rPr>
          <w:rFonts w:ascii="Arial" w:cs="Arial" w:eastAsia="Arial" w:hAnsi="Arial"/>
          <w:b w:val="false"/>
          <w:bCs w:val="false"/>
          <w:i w:val="false"/>
          <w:iCs w:val="false"/>
          <w:color w:val="000000"/>
          <w:sz w:val="20"/>
          <w:szCs w:val="20"/>
        </w:rPr>
        <w:t xml:space="preserve">The primary data source is the IRDAI Handbook on Indian Insurance Statistics, Part III: Health Insurance, published by the Insurance Regulatory and Development Authority of India (IRDAI). This is the definitive official regulatory dataset for the Indian insurance industry, compiled under the Insurance Act, 1938, and represents the highest-credibility source available for this domain.</w:t>
      </w:r>
    </w:p>
    <w:p>
      <w:pPr>
        <w:spacing w:before="80" w:after="0"/>
      </w:pPr>
    </w:p>
    <w:p>
      <w:pPr>
        <w:pStyle w:val="Heading2"/>
        <w:spacing w:before="240" w:after="80"/>
      </w:pPr>
      <w:r>
        <w:rPr>
          <w:rFonts w:ascii="Arial" w:cs="Arial" w:eastAsia="Arial" w:hAnsi="Arial"/>
          <w:b/>
          <w:bCs/>
          <w:color w:val="2E5BBA"/>
          <w:sz w:val="24"/>
          <w:szCs w:val="24"/>
        </w:rPr>
        <w:t xml:space="preserve">Time Period and Granularity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6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Time Horizon</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 financial years: FY 2013-14 through FY 2021-22</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Insurer Granularity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17 individual insurers (PSU: 4, Private General: 13, SAHI: 7 reported; 5 active in FY22)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Segment Granularity</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 business segments: Government Sponsored, Group (ex-Govt), Individual Floater, Individual Other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Geographic Granularity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36 states and Union Territories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Metric Granularity</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Policies issued, Persons Covered (000s), Gross Premium (₹ Lakh), Net Earned Premium, Claims Incurred, ICR</w:t>
            </w:r>
          </w:p>
        </w:tc>
      </w:tr>
    </w:tbl>
    <w:p>
      <w:pPr>
        <w:spacing w:before="120" w:after="0"/>
      </w:pPr>
    </w:p>
    <w:p>
      <w:pPr>
        <w:pStyle w:val="Heading2"/>
        <w:spacing w:before="240" w:after="80"/>
      </w:pPr>
      <w:r>
        <w:rPr>
          <w:rFonts w:ascii="Arial" w:cs="Arial" w:eastAsia="Arial" w:hAnsi="Arial"/>
          <w:b/>
          <w:bCs/>
          <w:color w:val="2E5BBA"/>
          <w:sz w:val="24"/>
          <w:szCs w:val="24"/>
        </w:rPr>
        <w:t xml:space="preserve">Overall Data Quality Assessment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Quality Dimension</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W w:type="dxa" w:w="5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Completeness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HIGH — 95%</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Newer SAHI entrants (Aditya Birla, Reliance Health) have null values in pre-entry years; treated as zero for aggregates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Consistency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MEDIUM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RSBY-to-PMJAY relabelling creates a structural break at FY 2018-19; HDFC ERGO merger introduces dual rows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Accuracy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HIGH</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Official IRDAI publication; Grand Total validated as sum of PSU + Private + SAHI sub-totals across all years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Timeliness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CURRENT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FY 2021-22 is the most recent published cycle; FY 2022-23 unavailable as at report date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Granularity</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HIGH</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Insurer × segment × year matrix enables robust cross-sectional and longitudinal analysis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Structural Integrity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MEDIUM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Nested merged-cell headers in source require careful parsing; column mapping validated against known benchmark totals</w:t>
            </w:r>
          </w:p>
        </w:tc>
      </w:tr>
    </w:tbl>
    <w:p>
      <w:pPr>
        <w:spacing w:before="80" w:after="0"/>
      </w:pPr>
    </w:p>
    <w:p>
      <w:pPr>
        <w:spacing w:before="60" w:after="60"/>
        <w:jc w:val="left"/>
      </w:pPr>
      <w:r>
        <w:rPr>
          <w:rFonts w:ascii="Arial" w:cs="Arial" w:eastAsia="Arial" w:hAnsi="Arial"/>
          <w:b/>
          <w:bCs/>
          <w:i w:val="false"/>
          <w:iCs w:val="false"/>
          <w:color w:val="000000"/>
          <w:sz w:val="20"/>
          <w:szCs w:val="20"/>
        </w:rPr>
        <w:t xml:space="preserve">Overall Data Verdict: DECISION-GRADE for market sizing, competitive benchmarking, segment strategy, and geographic expansion analysis. Not suitable, without supplementary data, for insolvency risk assessment or individual product-line profitability analysis.</w:t>
      </w:r>
    </w:p>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6</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METHODOLOGY (HIGH-LEVEL)</w:t>
            </w:r>
          </w:p>
        </w:tc>
      </w:tr>
    </w:tbl>
    <w:p>
      <w:pPr>
        <w:spacing w:before="120" w:after="0"/>
      </w:pPr>
    </w:p>
    <w:p>
      <w:pPr>
        <w:pStyle w:val="Heading2"/>
        <w:spacing w:before="240" w:after="80"/>
      </w:pPr>
      <w:r>
        <w:rPr>
          <w:rFonts w:ascii="Arial" w:cs="Arial" w:eastAsia="Arial" w:hAnsi="Arial"/>
          <w:b/>
          <w:bCs/>
          <w:color w:val="2E5BBA"/>
          <w:sz w:val="24"/>
          <w:szCs w:val="24"/>
        </w:rPr>
        <w:t xml:space="preserve">Analytical Approach</w:t>
      </w:r>
    </w:p>
    <w:p>
      <w:pPr>
        <w:spacing w:before="60" w:after="60"/>
        <w:jc w:val="left"/>
      </w:pPr>
      <w:r>
        <w:rPr>
          <w:rFonts w:ascii="Arial" w:cs="Arial" w:eastAsia="Arial" w:hAnsi="Arial"/>
          <w:b w:val="false"/>
          <w:bCs w:val="false"/>
          <w:i w:val="false"/>
          <w:iCs w:val="false"/>
          <w:color w:val="000000"/>
          <w:sz w:val="20"/>
          <w:szCs w:val="20"/>
        </w:rPr>
        <w:t xml:space="preserve">The analysis proceeded across four structured phases, each building on the outputs of the preceding stage.</w:t>
      </w:r>
    </w:p>
    <w:p>
      <w:pPr>
        <w:spacing w:before="60" w:after="0"/>
      </w:pPr>
    </w:p>
    <w:p>
      <w:pPr>
        <w:pStyle w:val="ListParagraph"/>
        <w:numPr>
          <w:ilvl w:val="0"/>
          <w:numId w:val="2"/>
        </w:numPr>
        <w:spacing w:before="40" w:after="40"/>
      </w:pPr>
      <w:r>
        <w:rPr>
          <w:rFonts w:ascii="Arial" w:cs="Arial" w:eastAsia="Arial" w:hAnsi="Arial"/>
          <w:b w:val="false"/>
          <w:bCs w:val="false"/>
          <w:color w:val="000000"/>
          <w:sz w:val="20"/>
          <w:szCs w:val="20"/>
        </w:rPr>
        <w:t xml:space="preserve">Phase 1 — Data Audit and Preparation: A systematic audit of all source tables assessed completeness, consistency, and structural integrity. Identified anomalies (merger rows, relabelling breaks, negative values) were catalogued and treated under documented assumptions. Insurer names were standardised to a master reference table.</w:t>
      </w:r>
    </w:p>
    <w:p>
      <w:pPr>
        <w:pStyle w:val="ListParagraph"/>
        <w:numPr>
          <w:ilvl w:val="0"/>
          <w:numId w:val="2"/>
        </w:numPr>
        <w:spacing w:before="40" w:after="40"/>
      </w:pPr>
      <w:r>
        <w:rPr>
          <w:rFonts w:ascii="Arial" w:cs="Arial" w:eastAsia="Arial" w:hAnsi="Arial"/>
          <w:b w:val="false"/>
          <w:bCs w:val="false"/>
          <w:color w:val="000000"/>
          <w:sz w:val="20"/>
          <w:szCs w:val="20"/>
        </w:rPr>
        <w:t xml:space="preserve">Phase 2 — Exploratory Analysis: Time-series decomposition established market-level trends across three dimensions: total policies, persons covered, and gross premium. Category-level (PSU, Private, SAHI) trends were isolated to identify structural shifts. Insurer-level summaries quantified competitive positions.</w:t>
      </w:r>
    </w:p>
    <w:p>
      <w:pPr>
        <w:pStyle w:val="ListParagraph"/>
        <w:numPr>
          <w:ilvl w:val="0"/>
          <w:numId w:val="2"/>
        </w:numPr>
        <w:spacing w:before="40" w:after="40"/>
      </w:pPr>
      <w:r>
        <w:rPr>
          <w:rFonts w:ascii="Arial" w:cs="Arial" w:eastAsia="Arial" w:hAnsi="Arial"/>
          <w:b w:val="false"/>
          <w:bCs w:val="false"/>
          <w:color w:val="000000"/>
          <w:sz w:val="20"/>
          <w:szCs w:val="20"/>
        </w:rPr>
        <w:t xml:space="preserve">Phase 3 — KPI Computation and Scoring: A defined set of nine KPIs was applied across all data dimensions. The primary scoring instrument, the Growth-Quality Index (GQI), integrated two independent dimensions of insurer performance: premium CAGR rank and underwriting efficiency rank. This avoided the distortion of single-metric ranking.</w:t>
      </w:r>
    </w:p>
    <w:p>
      <w:pPr>
        <w:pStyle w:val="ListParagraph"/>
        <w:numPr>
          <w:ilvl w:val="0"/>
          <w:numId w:val="2"/>
        </w:numPr>
        <w:spacing w:before="40" w:after="40"/>
      </w:pPr>
      <w:r>
        <w:rPr>
          <w:rFonts w:ascii="Arial" w:cs="Arial" w:eastAsia="Arial" w:hAnsi="Arial"/>
          <w:b w:val="false"/>
          <w:bCs w:val="false"/>
          <w:color w:val="000000"/>
          <w:sz w:val="20"/>
          <w:szCs w:val="20"/>
        </w:rPr>
        <w:t xml:space="preserve">Phase 4 — Synthesis and Recommendation Development: Quantitative findings were interpreted against known structural context (healthcare cost inflation, government scheme economics, SAHI market dynamics) to derive business implications. Recommendations were stress-tested for internal consistency and practical actionability.</w:t>
      </w:r>
    </w:p>
    <w:p>
      <w:pPr>
        <w:spacing w:before="80" w:after="0"/>
      </w:pPr>
    </w:p>
    <w:p>
      <w:pPr>
        <w:pStyle w:val="Heading2"/>
        <w:spacing w:before="240" w:after="80"/>
      </w:pPr>
      <w:r>
        <w:rPr>
          <w:rFonts w:ascii="Arial" w:cs="Arial" w:eastAsia="Arial" w:hAnsi="Arial"/>
          <w:b/>
          <w:bCs/>
          <w:color w:val="2E5BBA"/>
          <w:sz w:val="24"/>
          <w:szCs w:val="24"/>
        </w:rPr>
        <w:t xml:space="preserve">Key Metrics and Frameworks Used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 / Framework</w:t>
            </w:r>
          </w:p>
        </w:tc>
        <w:tc>
          <w:tcPr>
            <w:tcW w:type="dxa" w:w="4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2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Gross Premium (₹ Crore)</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Market size and share</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insurers, all years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Incurred Claims Ratio (ICR)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Underwriting efficiency: Claims ÷ Net Earned Premium</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insurers, all years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Premium CAGR</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Growth rate quality over the study period</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insurers; calculated from first non-null year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Average Premium per Policy (₹)</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Product mix proxy and ticket-size evolution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insurers, FY 2021-22</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Average Premium per Person (₹)</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Per-capita effective coverage cost</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insurers, FY 2021-22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Underwriting Efficiency Score (UES)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Normalised ICR-based score: Max(0, (1.5-ICR)/1.5)×100</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insurers, FY 2021-22</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Growth-Quality Index (GQI)</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Composite ranking: 50% CAGR rank + 50% UES rank, normalised</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insurers, FY 2021-22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Tier Classification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Tier 1 Leader / Tier 2 Challenger / Tier 3 Laggard derived from GQI</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insurers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State Premium Concentration</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Geographic share and coverage density analysis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36 states/UTs, FY 2021-22</w:t>
            </w:r>
          </w:p>
        </w:tc>
      </w:tr>
    </w:tbl>
    <w:p>
      <w:pPr>
        <w:spacing w:before="80" w:after="0"/>
      </w:pPr>
    </w:p>
    <w:p>
      <w:pPr>
        <w:pStyle w:val="Heading2"/>
        <w:spacing w:before="240" w:after="80"/>
      </w:pPr>
      <w:r>
        <w:rPr>
          <w:rFonts w:ascii="Arial" w:cs="Arial" w:eastAsia="Arial" w:hAnsi="Arial"/>
          <w:b/>
          <w:bCs/>
          <w:color w:val="2E5BBA"/>
          <w:sz w:val="24"/>
          <w:szCs w:val="24"/>
        </w:rPr>
        <w:t xml:space="preserve">How Insights Were Derived</w:t>
      </w:r>
    </w:p>
    <w:p>
      <w:pPr>
        <w:spacing w:before="60" w:after="60"/>
        <w:jc w:val="left"/>
      </w:pPr>
      <w:r>
        <w:rPr>
          <w:rFonts w:ascii="Arial" w:cs="Arial" w:eastAsia="Arial" w:hAnsi="Arial"/>
          <w:b w:val="false"/>
          <w:bCs w:val="false"/>
          <w:i w:val="false"/>
          <w:iCs w:val="false"/>
          <w:color w:val="000000"/>
          <w:sz w:val="20"/>
          <w:szCs w:val="20"/>
        </w:rPr>
        <w:t xml:space="preserve">Insights emerged from the intersection of three analytical lenses: the longitudinal view (how metrics have changed over nine years), the cross-sectional view (how insurers compare against each other and against category benchmarks in a given year), and the structural view (what the patterns imply about underlying economic and regulatory dynamics rather than transient fluctuations). Only findings where at least two of these three lenses were consistent were advanced with HIGH confidence.</w:t>
      </w:r>
    </w:p>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7</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KEY FINDINGS &amp; INSIGHTS</w:t>
            </w:r>
          </w:p>
        </w:tc>
      </w:tr>
    </w:tbl>
    <w:p>
      <w:pPr>
        <w:spacing w:before="120" w:after="0"/>
      </w:pPr>
    </w:p>
    <w:p>
      <w:pPr>
        <w:pStyle w:val="Heading2"/>
        <w:spacing w:before="240" w:after="80"/>
      </w:pPr>
      <w:r>
        <w:rPr>
          <w:rFonts w:ascii="Arial" w:cs="Arial" w:eastAsia="Arial" w:hAnsi="Arial"/>
          <w:b/>
          <w:bCs/>
          <w:color w:val="2E5BBA"/>
          <w:sz w:val="24"/>
          <w:szCs w:val="24"/>
        </w:rPr>
        <w:t xml:space="preserve">7.1  Market Growth — Durable, Not Cyclical</w:t>
      </w:r>
    </w:p>
    <w:p>
      <w:pPr>
        <w:spacing w:before="60" w:after="60"/>
        <w:jc w:val="left"/>
      </w:pPr>
      <w:r>
        <w:rPr>
          <w:rFonts w:ascii="Arial" w:cs="Arial" w:eastAsia="Arial" w:hAnsi="Arial"/>
          <w:b w:val="false"/>
          <w:bCs w:val="false"/>
          <w:i w:val="false"/>
          <w:iCs w:val="false"/>
          <w:color w:val="000000"/>
          <w:sz w:val="20"/>
          <w:szCs w:val="20"/>
        </w:rPr>
        <w:t xml:space="preserve">Indian health insurance gross premium grew from ₹17,495 Crore in FY 2013-14 to ₹73,052 Crore in FY 2021-22 — a 9-year CAGR of 19.5%. This growth significantly outpaces both GDP growth and general inflation over the same period, indicating structural demand expansion rather than nominal price inflation alone. Policy count grew at a more modest 10.5% CAGR (10.0 million to 22.6 million), while persons covered grew at 11.7% CAGR (216 million to 520 million). The premium CAGR substantially exceeding coverage CAGR confirms a concurrent shift toward higher-value products, reflecting both product sophistication and healthcare cost escalation. Confidence: HIGH.</w:t>
      </w:r>
    </w:p>
    <w:p>
      <w:pPr>
        <w:spacing w:before="80" w:after="0"/>
      </w:pPr>
    </w:p>
    <w:p>
      <w:pPr>
        <w:pStyle w:val="Heading2"/>
        <w:spacing w:before="240" w:after="80"/>
      </w:pPr>
      <w:r>
        <w:rPr>
          <w:rFonts w:ascii="Arial" w:cs="Arial" w:eastAsia="Arial" w:hAnsi="Arial"/>
          <w:b/>
          <w:bCs/>
          <w:color w:val="2E5BBA"/>
          <w:sz w:val="24"/>
          <w:szCs w:val="24"/>
        </w:rPr>
        <w:t xml:space="preserve">7.2  Category Structural Shift — PSU Decline, SAHI Rise</w:t>
      </w:r>
    </w:p>
    <w:p>
      <w:pPr>
        <w:spacing w:before="60" w:after="60"/>
        <w:jc w:val="left"/>
      </w:pPr>
      <w:r>
        <w:rPr>
          <w:rFonts w:ascii="Arial" w:cs="Arial" w:eastAsia="Arial" w:hAnsi="Arial"/>
          <w:b w:val="false"/>
          <w:bCs w:val="false"/>
          <w:i w:val="false"/>
          <w:iCs w:val="false"/>
          <w:color w:val="000000"/>
          <w:sz w:val="20"/>
          <w:szCs w:val="20"/>
        </w:rPr>
        <w:t xml:space="preserve">The three-category structure of the market has undergone a pronounced compositional shift over the study period.</w:t>
      </w:r>
    </w:p>
    <w:p>
      <w:pPr>
        <w:spacing w:before="60" w:after="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600"/>
        <w:gridCol w:w="1700"/>
        <w:gridCol w:w="1580"/>
        <w:gridCol w:w="1300"/>
        <w:gridCol w:w="128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1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Premium FY14 (₹ Cr)</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Market Share FY14</w:t>
            </w:r>
          </w:p>
        </w:tc>
        <w:tc>
          <w:tcPr>
            <w:tcW w:type="dxa" w:w="1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Premium FY22 (₹ Cr)</w:t>
            </w:r>
          </w:p>
        </w:tc>
        <w:tc>
          <w:tcPr>
            <w:tcW w:type="dxa" w:w="15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Market Share FY22</w:t>
            </w:r>
          </w:p>
        </w:tc>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9-Year CAGR</w:t>
            </w:r>
          </w:p>
        </w:tc>
        <w:tc>
          <w:tcPr>
            <w:tcW w:type="dxa" w:w="12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ICR FY22</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PSU Insurers</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₹10,841</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62.0%</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₹32,943</w:t>
            </w:r>
          </w:p>
        </w:tc>
        <w:tc>
          <w:tcPr>
            <w:tcW w:type="dxa" w:w="1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45.1%</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14.9%</w:t>
            </w:r>
          </w:p>
        </w:tc>
        <w:tc>
          <w:tcPr>
            <w:tcW w:type="dxa" w:w="12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1.26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Private General</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₹4,482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25.6%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₹20,107</w:t>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27.5%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20.6%</w:t>
            </w:r>
          </w:p>
        </w:tc>
        <w:tc>
          <w:tcPr>
            <w:tcW w:type="dxa" w:w="1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1.05</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Stand-Alone Health (SAHI)</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₹2,172</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12.4%</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₹20,001</w:t>
            </w:r>
          </w:p>
        </w:tc>
        <w:tc>
          <w:tcPr>
            <w:tcW w:type="dxa" w:w="1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27.4%</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32.5%</w:t>
            </w:r>
          </w:p>
        </w:tc>
        <w:tc>
          <w:tcPr>
            <w:tcW w:type="dxa" w:w="12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0.81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TOTAL MARKET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₹17,495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₹73,052</w:t>
            </w:r>
          </w:p>
        </w:tc>
        <w:tc>
          <w:tcPr>
            <w:tcW w:type="dxa" w:w="1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19.5%</w:t>
            </w:r>
          </w:p>
        </w:tc>
        <w:tc>
          <w:tcPr>
            <w:tcW w:type="dxa" w:w="1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1.09</w:t>
            </w:r>
          </w:p>
        </w:tc>
      </w:tr>
    </w:tbl>
    <w:p>
      <w:pPr>
        <w:spacing w:before="80" w:after="0"/>
      </w:pPr>
    </w:p>
    <w:p>
      <w:pPr>
        <w:spacing w:before="60" w:after="60"/>
        <w:jc w:val="left"/>
      </w:pPr>
      <w:r>
        <w:rPr>
          <w:rFonts w:ascii="Arial" w:cs="Arial" w:eastAsia="Arial" w:hAnsi="Arial"/>
          <w:b w:val="false"/>
          <w:bCs w:val="false"/>
          <w:i w:val="false"/>
          <w:iCs w:val="false"/>
          <w:color w:val="000000"/>
          <w:sz w:val="20"/>
          <w:szCs w:val="20"/>
        </w:rPr>
        <w:t xml:space="preserve">The defining narrative is the SAHI segment's trajectory. Starting from a 12.4% base, SAHI has grown at more than double the PSU growth rate and now stands at parity with Private General in absolute premium. More significantly, it has accomplished this while maintaining the best underwriting discipline in the sector. This pattern is consistent across all years and all SAHI entities. Confidence: HIGH.</w:t>
      </w:r>
    </w:p>
    <w:p>
      <w:pPr>
        <w:spacing w:before="80" w:after="0"/>
      </w:pPr>
    </w:p>
    <w:p>
      <w:pPr>
        <w:pStyle w:val="Heading2"/>
        <w:spacing w:before="240" w:after="80"/>
      </w:pPr>
      <w:r>
        <w:rPr>
          <w:rFonts w:ascii="Arial" w:cs="Arial" w:eastAsia="Arial" w:hAnsi="Arial"/>
          <w:b/>
          <w:bCs/>
          <w:color w:val="2E5BBA"/>
          <w:sz w:val="24"/>
          <w:szCs w:val="24"/>
        </w:rPr>
        <w:t xml:space="preserve">7.3  PSU Incurred Claims Ratio — A Structural Problem</w:t>
      </w:r>
    </w:p>
    <w:p>
      <w:pPr>
        <w:spacing w:before="60" w:after="60"/>
        <w:jc w:val="left"/>
      </w:pPr>
      <w:r>
        <w:rPr>
          <w:rFonts w:ascii="Arial" w:cs="Arial" w:eastAsia="Arial" w:hAnsi="Arial"/>
          <w:b w:val="false"/>
          <w:bCs w:val="false"/>
          <w:i w:val="false"/>
          <w:iCs w:val="false"/>
          <w:color w:val="000000"/>
          <w:sz w:val="20"/>
          <w:szCs w:val="20"/>
        </w:rPr>
        <w:t xml:space="preserve">The PSU ICR has exceeded 1.0 every year across all nine years of the dataset, worsening from 1.07 in FY 2013-14 to 1.26 in FY 2021-22. An ICR of 1.26 implies that for every ₹100 of net earned premium, ₹126 is consumed by claims. The year-on-year deterioration is statistically consistent and shows no self-correcting tendency.</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The primary mechanism is the Government Sponsored segment, where premiums are set at politically determined levels while claims reflect actual healthcare utilisation under AB-PMJAY and its predecessors. New India Assurance and Oriental Insurance, which carry the highest Govt Sponsored exposure in the PSU group, post ICRs of 1.25 and 1.37 respectively in FY22. Oriental Insurance's ICR is the highest of any individual insurer in the dataset. Cross-subsidy from commercial business is partially offsetting this, but the trajectory suggests the gap is widening. Confidence: HIGH.</w:t>
      </w:r>
    </w:p>
    <w:p>
      <w:pPr>
        <w:spacing w:before="80" w:after="0"/>
      </w:pPr>
    </w:p>
    <w:p>
      <w:pPr>
        <w:pStyle w:val="Heading2"/>
        <w:spacing w:before="240" w:after="80"/>
      </w:pPr>
      <w:r>
        <w:rPr>
          <w:rFonts w:ascii="Arial" w:cs="Arial" w:eastAsia="Arial" w:hAnsi="Arial"/>
          <w:b/>
          <w:bCs/>
          <w:color w:val="2E5BBA"/>
          <w:sz w:val="24"/>
          <w:szCs w:val="24"/>
        </w:rPr>
        <w:t xml:space="preserve">7.4  Insurer Performance Ranking — GQI Results</w:t>
      </w:r>
    </w:p>
    <w:p>
      <w:pPr>
        <w:spacing w:before="60" w:after="60"/>
        <w:jc w:val="left"/>
      </w:pPr>
      <w:r>
        <w:rPr>
          <w:rFonts w:ascii="Arial" w:cs="Arial" w:eastAsia="Arial" w:hAnsi="Arial"/>
          <w:b w:val="false"/>
          <w:bCs w:val="false"/>
          <w:i w:val="false"/>
          <w:iCs w:val="false"/>
          <w:color w:val="000000"/>
          <w:sz w:val="20"/>
          <w:szCs w:val="20"/>
        </w:rPr>
        <w:t xml:space="preserve">The Growth-Quality Index ranked all 17 insurers on a composite of 9-year CAGR and underwriting efficiency. The tier distribution reflects the structural category dynamics described above.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4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Insurers</w:t>
            </w:r>
          </w:p>
        </w:tc>
        <w:tc>
          <w:tcPr>
            <w:tcW w:type="dxa" w:w="3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Characteristic</w:t>
            </w:r>
          </w:p>
        </w:tc>
      </w:tr>
      <w:tr>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Tier 1 — Leader</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SBI General, Tata AIG, Care Health, Niva Bupa, ManipalCigna, Aditya Birla Health</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High CAGR combined with ICR below sector average; growth achieved without sacrificing underwriting discipline</w:t>
            </w:r>
          </w:p>
        </w:tc>
      </w:tr>
      <w:tr>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r>
              <w:rPr>
                <w:rFonts w:ascii="Arial" w:cs="Arial" w:eastAsia="Arial" w:hAnsi="Arial"/>
                <w:b/>
                <w:bCs/>
                <w:color w:val="7F6000"/>
                <w:sz w:val="18"/>
                <w:szCs w:val="18"/>
              </w:rPr>
              <w:t xml:space="preserve">Tier 2 — Challenger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Star Health, ICICI Lombard, Bajaj Allianz, Future Generali</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Strong growth but ICR converging toward or above 1.0; scale advantages present but profitability under pressure</w:t>
            </w:r>
          </w:p>
        </w:tc>
      </w:tr>
      <w:tr>
        <w:tc>
          <w:tcPr>
            <w:tcW w:type="dxa" w:w="2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r>
              <w:rPr>
                <w:rFonts w:ascii="Arial" w:cs="Arial" w:eastAsia="Arial" w:hAnsi="Arial"/>
                <w:b/>
                <w:bCs/>
                <w:color w:val="C00000"/>
                <w:sz w:val="18"/>
                <w:szCs w:val="18"/>
              </w:rPr>
              <w:t xml:space="preserve">Tier 3 — Laggard</w:t>
            </w:r>
          </w:p>
        </w:tc>
        <w:tc>
          <w:tcPr>
            <w:tcW w:type="dxa" w:w="4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National Insurance, New India Assurance, Oriental Insurance, United India, IFFCO Tokio, Cholamandalam MS</w:t>
            </w:r>
          </w:p>
        </w:tc>
        <w:tc>
          <w:tcPr>
            <w:tcW w:type="dxa" w:w="3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Below-average growth and/or materially elevated ICR; structural issues not amenable to short-term correction</w:t>
            </w:r>
          </w:p>
        </w:tc>
      </w:tr>
    </w:tbl>
    <w:p>
      <w:pPr>
        <w:spacing w:before="80" w:after="0"/>
      </w:pPr>
    </w:p>
    <w:p>
      <w:pPr>
        <w:spacing w:before="60" w:after="60"/>
        <w:jc w:val="left"/>
      </w:pPr>
      <w:r>
        <w:rPr>
          <w:rFonts w:ascii="Arial" w:cs="Arial" w:eastAsia="Arial" w:hAnsi="Arial"/>
          <w:b w:val="false"/>
          <w:bCs w:val="false"/>
          <w:i w:val="false"/>
          <w:iCs w:val="false"/>
          <w:color w:val="000000"/>
          <w:sz w:val="20"/>
          <w:szCs w:val="20"/>
        </w:rPr>
        <w:t xml:space="preserve">Notable outliers: SBI General achieved the highest growth CAGR of any PSU or Private insurer from a low base, reflecting the power of bancassurance distribution. Niva Bupa carries the lowest ICR in the sector at 0.64, demonstrating that disciplined underwriting is achievable at ₹2,749 Crore scale. Confidence: HIGH.</w:t>
      </w:r>
    </w:p>
    <w:p>
      <w:pPr>
        <w:spacing w:before="80" w:after="0"/>
      </w:pPr>
    </w:p>
    <w:p>
      <w:pPr>
        <w:pStyle w:val="Heading2"/>
        <w:spacing w:before="240" w:after="80"/>
      </w:pPr>
      <w:r>
        <w:rPr>
          <w:rFonts w:ascii="Arial" w:cs="Arial" w:eastAsia="Arial" w:hAnsi="Arial"/>
          <w:b/>
          <w:bCs/>
          <w:color w:val="2E5BBA"/>
          <w:sz w:val="24"/>
          <w:szCs w:val="24"/>
        </w:rPr>
        <w:t xml:space="preserve">7.5  Geographic Concentration — Systemic Risk and White Space</w:t>
      </w:r>
    </w:p>
    <w:p>
      <w:pPr>
        <w:spacing w:before="60" w:after="60"/>
        <w:jc w:val="left"/>
      </w:pPr>
      <w:r>
        <w:rPr>
          <w:rFonts w:ascii="Arial" w:cs="Arial" w:eastAsia="Arial" w:hAnsi="Arial"/>
          <w:b w:val="false"/>
          <w:bCs w:val="false"/>
          <w:i w:val="false"/>
          <w:iCs w:val="false"/>
          <w:color w:val="000000"/>
          <w:sz w:val="20"/>
          <w:szCs w:val="20"/>
        </w:rPr>
        <w:t xml:space="preserve">The geographic distribution of health insurance premium in India is highly concentrated and skews sharply toward a small number of industrialised states.</w:t>
      </w:r>
    </w:p>
    <w:p>
      <w:pPr>
        <w:spacing w:before="6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176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Premium FY22 (₹ Cr)</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National Share</w:t>
            </w:r>
          </w:p>
        </w:tc>
        <w:tc>
          <w:tcPr>
            <w:tcW w:type="dxa" w:w="1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Cumulative Share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Maharashtra</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₹23,301</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31.9%</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31.9%</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Karnataka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₹7,785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10.7%</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42.6%</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Tamil Nadu</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₹6,851</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9.4%</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51.9%</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Gujarat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₹5,233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7.2%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59.1%</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Delhi NCT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₹4,890</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6.7%</w:t>
            </w:r>
          </w:p>
        </w:tc>
        <w:tc>
          <w:tcPr>
            <w:tcW w:type="dxa" w:w="1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65.8%</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remaining 31 states/UTs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₹24,992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34.2%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100.0%</w:t>
            </w:r>
          </w:p>
        </w:tc>
      </w:tr>
    </w:tbl>
    <w:p>
      <w:pPr>
        <w:spacing w:before="80" w:after="0"/>
      </w:pPr>
    </w:p>
    <w:p>
      <w:pPr>
        <w:spacing w:before="60" w:after="60"/>
        <w:jc w:val="left"/>
      </w:pPr>
      <w:r>
        <w:rPr>
          <w:rFonts w:ascii="Arial" w:cs="Arial" w:eastAsia="Arial" w:hAnsi="Arial"/>
          <w:b w:val="false"/>
          <w:bCs w:val="false"/>
          <w:i w:val="false"/>
          <w:iCs w:val="false"/>
          <w:color w:val="000000"/>
          <w:sz w:val="20"/>
          <w:szCs w:val="20"/>
        </w:rPr>
        <w:t xml:space="preserve">Maharashtra's premium-per-person (approximately ₹1,430) is close to the national average, implying its premium dominance reflects population and economic density rather than exceptional penetration. In contrast, states like Bihar (₹426 Crore, 128 million population) and Uttar Pradesh (₹3,180 Crore, 240 million population) have premium densities below ₹250 per head — indicating substantial addressable demand. The concentration in five states also represents a systemic risk: a single large adverse claims event or regulatory disruption in Maharashtra would have market-level consequences. Confidence: HIGH.</w:t>
      </w:r>
    </w:p>
    <w:p>
      <w:pPr>
        <w:spacing w:before="80" w:after="0"/>
      </w:pPr>
    </w:p>
    <w:p>
      <w:pPr>
        <w:pStyle w:val="Heading2"/>
        <w:spacing w:before="240" w:after="80"/>
      </w:pPr>
      <w:r>
        <w:rPr>
          <w:rFonts w:ascii="Arial" w:cs="Arial" w:eastAsia="Arial" w:hAnsi="Arial"/>
          <w:b/>
          <w:bCs/>
          <w:color w:val="2E5BBA"/>
          <w:sz w:val="24"/>
          <w:szCs w:val="24"/>
        </w:rPr>
        <w:t xml:space="preserve">7.6  Star Health — Dominant but Concentrated</w:t>
      </w:r>
    </w:p>
    <w:p>
      <w:pPr>
        <w:spacing w:before="60" w:after="60"/>
        <w:jc w:val="left"/>
      </w:pPr>
      <w:r>
        <w:rPr>
          <w:rFonts w:ascii="Arial" w:cs="Arial" w:eastAsia="Arial" w:hAnsi="Arial"/>
          <w:b w:val="false"/>
          <w:bCs w:val="false"/>
          <w:i w:val="false"/>
          <w:iCs w:val="false"/>
          <w:color w:val="000000"/>
          <w:sz w:val="20"/>
          <w:szCs w:val="20"/>
        </w:rPr>
        <w:t xml:space="preserve">Star Health &amp; Allied Insurance commands 15.5% of total sector premium (₹11,294 Crore), 56.4% of the SAHI segment, and 63.0% of SAHI policy count at 6.9 million policies. This dominance is operationally built — Star Health has the largest retail health insurer distribution network in India. However, this concentration creates a structural fragility within the SAHI segment: the segment's aggregate financial health is disproportionately dependent on a single entity. Star Health's ICR of 0.87 in FY22 is above the SAHI average of 0.81 and has been trending upward, consistent with post-COVID claims normalisation in retail health. Confidence: HIGH.</w:t>
      </w:r>
    </w:p>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8</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IMPLICATIONS &amp; TRADE-OFFS</w:t>
            </w:r>
          </w:p>
        </w:tc>
      </w:tr>
    </w:tbl>
    <w:p>
      <w:pPr>
        <w:spacing w:before="120" w:after="0"/>
      </w:pPr>
    </w:p>
    <w:p>
      <w:pPr>
        <w:pStyle w:val="Heading2"/>
        <w:spacing w:before="240" w:after="80"/>
      </w:pPr>
      <w:r>
        <w:rPr>
          <w:rFonts w:ascii="Arial" w:cs="Arial" w:eastAsia="Arial" w:hAnsi="Arial"/>
          <w:b/>
          <w:bCs/>
          <w:color w:val="2E5BBA"/>
          <w:sz w:val="24"/>
          <w:szCs w:val="24"/>
        </w:rPr>
        <w:t xml:space="preserve">What These Findings Mean for the Business</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For insurers operating in or considering entry to the Indian health market, the data present a clear directional message: the SAHI segment offers the strongest combination of growth and profitability in the sector. Private General insurers are viable but face a sharpening ICR trend. PSU insurers are structurally constrained and unlikely to recover market share without material strategic repositioning.</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For policymakers and regulators, the persistent PSU ICR above 1.0 represents a contingent fiscal liability. If PSU insurers continue to underwrite Government Sponsored schemes at loss, eventual recapitalisation from public funds becomes probable. The IRDAI and the National Health Authority face a structural pricing tension that is not addressable through operational efficiency alone.</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For investors and capital allocators, the SAHI tier presents several sub-scale but operationally sound entities (Care Health, Niva Bupa, ManipalCigna) that may offer attractive consolidation value. The gap between Star Health and the next-largest SAHI (Care Health at ₹3,426 Crore) is large; any combination of the three mid-tier SAHI players would still not close it, but would create a credible second force.</w:t>
      </w:r>
    </w:p>
    <w:p>
      <w:pPr>
        <w:spacing w:before="80" w:after="0"/>
      </w:pPr>
    </w:p>
    <w:p>
      <w:pPr>
        <w:pStyle w:val="Heading2"/>
        <w:spacing w:before="240" w:after="80"/>
      </w:pPr>
      <w:r>
        <w:rPr>
          <w:rFonts w:ascii="Arial" w:cs="Arial" w:eastAsia="Arial" w:hAnsi="Arial"/>
          <w:b/>
          <w:bCs/>
          <w:color w:val="2E5BBA"/>
          <w:sz w:val="24"/>
          <w:szCs w:val="24"/>
        </w:rPr>
        <w:t xml:space="preserve">Trade-Offs and Limitations</w:t>
      </w:r>
    </w:p>
    <w:p>
      <w:pPr>
        <w:pStyle w:val="ListParagraph"/>
        <w:numPr>
          <w:ilvl w:val="0"/>
          <w:numId w:val="2"/>
        </w:numPr>
        <w:spacing w:before="40" w:after="40"/>
      </w:pPr>
      <w:r>
        <w:rPr>
          <w:rFonts w:ascii="Arial" w:cs="Arial" w:eastAsia="Arial" w:hAnsi="Arial"/>
          <w:b w:val="false"/>
          <w:bCs w:val="false"/>
          <w:color w:val="000000"/>
          <w:sz w:val="20"/>
          <w:szCs w:val="20"/>
        </w:rPr>
        <w:t xml:space="preserve">ICR versus Growth Trade-Off: Insurers with the best ICR scores (Niva Bupa, Care Health) tend to be more selective underwriters. Aggressive volume growth in a price-competitive retail market will inevitably put upward pressure on ICR. The data does not resolve whether the current SAHI ICR advantage is scale-independent or will erode as these players expand into lower-tier geographies.</w:t>
      </w:r>
    </w:p>
    <w:p>
      <w:pPr>
        <w:pStyle w:val="ListParagraph"/>
        <w:numPr>
          <w:ilvl w:val="0"/>
          <w:numId w:val="2"/>
        </w:numPr>
        <w:spacing w:before="40" w:after="40"/>
      </w:pPr>
      <w:r>
        <w:rPr>
          <w:rFonts w:ascii="Arial" w:cs="Arial" w:eastAsia="Arial" w:hAnsi="Arial"/>
          <w:b w:val="false"/>
          <w:bCs w:val="false"/>
          <w:color w:val="000000"/>
          <w:sz w:val="20"/>
          <w:szCs w:val="20"/>
        </w:rPr>
        <w:t xml:space="preserve">Geographic Expansion versus Risk Concentration: Expanding into under-penetrated states such as UP and Bihar offers growth opportunity but also introduces less-mature provider networks, higher cashless claim leakage risk, and lower hospital density. The opportunity is real; so is the operational risk of scaling in new geographies.</w:t>
      </w:r>
    </w:p>
    <w:p>
      <w:pPr>
        <w:pStyle w:val="ListParagraph"/>
        <w:numPr>
          <w:ilvl w:val="0"/>
          <w:numId w:val="2"/>
        </w:numPr>
        <w:spacing w:before="40" w:after="40"/>
      </w:pPr>
      <w:r>
        <w:rPr>
          <w:rFonts w:ascii="Arial" w:cs="Arial" w:eastAsia="Arial" w:hAnsi="Arial"/>
          <w:b w:val="false"/>
          <w:bCs w:val="false"/>
          <w:color w:val="000000"/>
          <w:sz w:val="20"/>
          <w:szCs w:val="20"/>
        </w:rPr>
        <w:t xml:space="preserve">Segment Mix and ICR Interaction: The ICR comparison across categories is partially confounded by segment mix. PSU insurers have disproportionately high Government Sponsored exposure (which structurally generates ICR above 1.5 in isolation); SAHI insurers have zero Government Sponsored exposure. Like-for-like underwriting comparison requires a segment-level breakdown that is beyond the scope of this analysis.</w:t>
      </w:r>
    </w:p>
    <w:p>
      <w:pPr>
        <w:spacing w:before="80" w:after="0"/>
      </w:pPr>
    </w:p>
    <w:p>
      <w:pPr>
        <w:pStyle w:val="Heading2"/>
        <w:spacing w:before="240" w:after="80"/>
      </w:pPr>
      <w:r>
        <w:rPr>
          <w:rFonts w:ascii="Arial" w:cs="Arial" w:eastAsia="Arial" w:hAnsi="Arial"/>
          <w:b/>
          <w:bCs/>
          <w:color w:val="2E5BBA"/>
          <w:sz w:val="24"/>
          <w:szCs w:val="24"/>
        </w:rPr>
        <w:t xml:space="preserve">What the Data Does NOT Support</w:t>
      </w:r>
    </w:p>
    <w:p>
      <w:pPr>
        <w:pStyle w:val="ListParagraph"/>
        <w:numPr>
          <w:ilvl w:val="0"/>
          <w:numId w:val="2"/>
        </w:numPr>
        <w:spacing w:before="40" w:after="40"/>
      </w:pPr>
      <w:r>
        <w:rPr>
          <w:rFonts w:ascii="Arial" w:cs="Arial" w:eastAsia="Arial" w:hAnsi="Arial"/>
          <w:b w:val="false"/>
          <w:bCs w:val="false"/>
          <w:color w:val="000000"/>
          <w:sz w:val="20"/>
          <w:szCs w:val="20"/>
        </w:rPr>
        <w:t xml:space="preserve">Individual insurer profitability cannot be inferred from ICR alone. ICR measures claims versus net earned premium; it does not incorporate operating expenses, investment income, or reinsurance recoveries. An insurer with ICR of 1.05 may still be profitable if investment income is sufficient.</w:t>
      </w:r>
    </w:p>
    <w:p>
      <w:pPr>
        <w:pStyle w:val="ListParagraph"/>
        <w:numPr>
          <w:ilvl w:val="0"/>
          <w:numId w:val="2"/>
        </w:numPr>
        <w:spacing w:before="40" w:after="40"/>
      </w:pPr>
      <w:r>
        <w:rPr>
          <w:rFonts w:ascii="Arial" w:cs="Arial" w:eastAsia="Arial" w:hAnsi="Arial"/>
          <w:b w:val="false"/>
          <w:bCs w:val="false"/>
          <w:color w:val="000000"/>
          <w:sz w:val="20"/>
          <w:szCs w:val="20"/>
        </w:rPr>
        <w:t xml:space="preserve">Future premium growth projections beyond FY 2022-23 are not supported by this dataset. Extrapolating the 19.5% CAGR forward is directionally plausible but not evidenced.</w:t>
      </w:r>
    </w:p>
    <w:p>
      <w:pPr>
        <w:pStyle w:val="ListParagraph"/>
        <w:numPr>
          <w:ilvl w:val="0"/>
          <w:numId w:val="2"/>
        </w:numPr>
        <w:spacing w:before="40" w:after="40"/>
      </w:pPr>
      <w:r>
        <w:rPr>
          <w:rFonts w:ascii="Arial" w:cs="Arial" w:eastAsia="Arial" w:hAnsi="Arial"/>
          <w:b w:val="false"/>
          <w:bCs w:val="false"/>
          <w:color w:val="000000"/>
          <w:sz w:val="20"/>
          <w:szCs w:val="20"/>
        </w:rPr>
        <w:t xml:space="preserve">The analysis does not provide grounds for recommending specific insurers for individual policyholders or investors. This is a market-structure and competitive-landscape assessment.</w:t>
      </w:r>
    </w:p>
    <w:p>
      <w:pPr>
        <w:pStyle w:val="ListParagraph"/>
        <w:numPr>
          <w:ilvl w:val="0"/>
          <w:numId w:val="2"/>
        </w:numPr>
        <w:spacing w:before="40" w:after="40"/>
      </w:pPr>
      <w:r>
        <w:rPr>
          <w:rFonts w:ascii="Arial" w:cs="Arial" w:eastAsia="Arial" w:hAnsi="Arial"/>
          <w:b w:val="false"/>
          <w:bCs w:val="false"/>
          <w:color w:val="000000"/>
          <w:sz w:val="20"/>
          <w:szCs w:val="20"/>
        </w:rPr>
        <w:t xml:space="preserve">The dataset does not provide grounds for assessing any insurer's solvency position; solvency margin and capital adequacy data are not included in the IRDAI Handbook Part III tables analysed.</w:t>
      </w:r>
    </w:p>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9</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RECOMMENDATIONS</w:t>
            </w:r>
          </w:p>
        </w:tc>
      </w:tr>
    </w:tbl>
    <w:p>
      <w:pPr>
        <w:spacing w:before="120" w:after="0"/>
      </w:pPr>
    </w:p>
    <w:p>
      <w:pPr>
        <w:pStyle w:val="Heading2"/>
        <w:spacing w:before="240" w:after="80"/>
      </w:pPr>
      <w:r>
        <w:rPr>
          <w:rFonts w:ascii="Arial" w:cs="Arial" w:eastAsia="Arial" w:hAnsi="Arial"/>
          <w:b/>
          <w:bCs/>
          <w:color w:val="2E5BBA"/>
          <w:sz w:val="24"/>
          <w:szCs w:val="24"/>
        </w:rPr>
        <w:t xml:space="preserve">Recommendation Framework</w:t>
      </w:r>
    </w:p>
    <w:p>
      <w:pPr>
        <w:spacing w:before="60" w:after="60"/>
        <w:jc w:val="left"/>
      </w:pPr>
      <w:r>
        <w:rPr>
          <w:rFonts w:ascii="Arial" w:cs="Arial" w:eastAsia="Arial" w:hAnsi="Arial"/>
          <w:b w:val="false"/>
          <w:bCs w:val="false"/>
          <w:i w:val="false"/>
          <w:iCs w:val="false"/>
          <w:color w:val="000000"/>
          <w:sz w:val="20"/>
          <w:szCs w:val="20"/>
        </w:rPr>
        <w:t xml:space="preserve">Six recommendations are advanced, organised by implementation horizon. Each is grounded directly in a finding from Section 7 and assessed on three dimensions: expected impact (HIGH / MEDIUM), implementation effort (HIGH / MEDIUM / LOW), and execution risk (HIGH / MEDIUM / LOW).</w:t>
      </w:r>
    </w:p>
    <w:p>
      <w:pPr>
        <w:spacing w:before="120" w:after="0"/>
      </w:pPr>
    </w:p>
    <w:p>
      <w:pPr>
        <w:spacing w:before="200" w:after="60"/>
      </w:pPr>
      <w:r>
        <w:rPr>
          <w:rFonts w:ascii="Arial" w:cs="Arial" w:eastAsia="Arial" w:hAnsi="Arial"/>
          <w:b/>
          <w:bCs/>
          <w:color w:val="1F3864"/>
          <w:sz w:val="22"/>
          <w:szCs w:val="22"/>
        </w:rPr>
        <w:t xml:space="preserve">IMMEDIATE — Quick Wins (0–6 Months)</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980"/>
        <w:gridCol w:w="900"/>
        <w:gridCol w:w="900"/>
        <w:gridCol w:w="900"/>
      </w:tblGrid>
      <w:tr>
        <w:tc>
          <w:tcPr>
            <w:tcW w:type="dxa" w:w="1200"/>
            <w:tcBorders>
              <w:top w:val="single" w:color="C00000" w:sz="4"/>
              <w:left w:val="single" w:color="C00000" w:sz="4"/>
              <w:bottom w:val="single" w:color="C00000" w:sz="4"/>
              <w:right w:val="single" w:color="C00000" w:sz="4"/>
            </w:tcBorders>
            <w:shd w:fill="C00000"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IMMEDIATE</w:t>
            </w:r>
          </w:p>
        </w:tc>
        <w:tc>
          <w:tcPr>
            <w:tcW w:type="dxa" w:w="22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Geographic Expansion: Tier 2 State Entry</w:t>
            </w:r>
          </w:p>
        </w:tc>
        <w:tc>
          <w:tcPr>
            <w:tcW w:type="dxa" w:w="3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Develop retail health insurance distribution programmes targeting Uttar Pradesh, Rajasthan, Madhya Pradesh, and West Bengal. Each state has premium density below ₹500 per capita against a national average of ₹1,403. This is quantifiable under-penetration, not absent demand. Focus initial distribution on Group and Individual Floater products, leveraging bancassurance or micro-finance partner channels. Target metric: +15% policy count from these four states within 24 months.</w:t>
            </w:r>
          </w:p>
        </w:tc>
        <w:tc>
          <w:tcPr>
            <w:tcW w:type="dxa" w:w="900"/>
            <w:tcBorders>
              <w:top w:val="single" w:color="375623" w:sz="4"/>
              <w:left w:val="single" w:color="375623" w:sz="4"/>
              <w:bottom w:val="single" w:color="375623" w:sz="4"/>
              <w:right w:val="single" w:color="375623"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IMPACT</w:t>
            </w:r>
          </w:p>
          <w:p>
            <w:pPr>
              <w:jc w:val="center"/>
            </w:pPr>
            <w:r>
              <w:rPr>
                <w:rFonts w:ascii="Arial" w:cs="Arial" w:eastAsia="Arial" w:hAnsi="Arial"/>
                <w:b/>
                <w:bCs/>
                <w:color w:val="375623"/>
                <w:sz w:val="17"/>
                <w:szCs w:val="17"/>
              </w:rPr>
              <w:t xml:space="preserve">HIGH</w:t>
            </w:r>
          </w:p>
        </w:tc>
        <w:tc>
          <w:tcPr>
            <w:tcW w:type="dxa" w:w="9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EFFORT</w:t>
            </w:r>
          </w:p>
          <w:p>
            <w:pPr>
              <w:jc w:val="center"/>
            </w:pPr>
            <w:r>
              <w:rPr>
                <w:rFonts w:ascii="Arial" w:cs="Arial" w:eastAsia="Arial" w:hAnsi="Arial"/>
                <w:b/>
                <w:bCs/>
                <w:color w:val="444444"/>
                <w:sz w:val="17"/>
                <w:szCs w:val="17"/>
              </w:rPr>
              <w:t xml:space="preserve">MEDIUM</w:t>
            </w:r>
          </w:p>
        </w:tc>
        <w:tc>
          <w:tcPr>
            <w:tcW w:type="dxa" w:w="900"/>
            <w:tcBorders>
              <w:top w:val="single" w:color="7F6000" w:sz="4"/>
              <w:left w:val="single" w:color="7F6000" w:sz="4"/>
              <w:bottom w:val="single" w:color="7F6000" w:sz="4"/>
              <w:right w:val="single" w:color="7F6000"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RISK</w:t>
            </w:r>
          </w:p>
          <w:p>
            <w:pPr>
              <w:jc w:val="center"/>
            </w:pPr>
            <w:r>
              <w:rPr>
                <w:rFonts w:ascii="Arial" w:cs="Arial" w:eastAsia="Arial" w:hAnsi="Arial"/>
                <w:b/>
                <w:bCs/>
                <w:color w:val="7F6000"/>
                <w:sz w:val="17"/>
                <w:szCs w:val="17"/>
              </w:rPr>
              <w:t xml:space="preserve">MEDIUM</w:t>
            </w:r>
          </w:p>
        </w:tc>
      </w:tr>
    </w:tbl>
    <w:p>
      <w:pPr>
        <w:spacing w:before="1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980"/>
        <w:gridCol w:w="900"/>
        <w:gridCol w:w="900"/>
        <w:gridCol w:w="900"/>
      </w:tblGrid>
      <w:tr>
        <w:tc>
          <w:tcPr>
            <w:tcW w:type="dxa" w:w="1200"/>
            <w:tcBorders>
              <w:top w:val="single" w:color="C00000" w:sz="4"/>
              <w:left w:val="single" w:color="C00000" w:sz="4"/>
              <w:bottom w:val="single" w:color="C00000" w:sz="4"/>
              <w:right w:val="single" w:color="C00000" w:sz="4"/>
            </w:tcBorders>
            <w:shd w:fill="C00000"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IMMEDIATE</w:t>
            </w:r>
          </w:p>
        </w:tc>
        <w:tc>
          <w:tcPr>
            <w:tcW w:type="dxa" w:w="22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PSU ICR Remediation: Govt Scheme Repricing Engagement</w:t>
            </w:r>
          </w:p>
        </w:tc>
        <w:tc>
          <w:tcPr>
            <w:tcW w:type="dxa" w:w="3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Initiate formal engagement with the National Health Authority (NHA) to model and negotiate minimum viable premium rates for AB-PMJAY and successor programmes. The FY22 data indicates an estimated ₹747 Crore underwriting deficit in the PSU Government Sponsored segment alone. Without repricing, this deficit will compound annually. An alternative pathway is ring-fencing Government Sponsored scheme P&amp;L from commercial health business in regulatory filings to enable transparent public disclosure.</w:t>
            </w:r>
          </w:p>
        </w:tc>
        <w:tc>
          <w:tcPr>
            <w:tcW w:type="dxa" w:w="900"/>
            <w:tcBorders>
              <w:top w:val="single" w:color="375623" w:sz="4"/>
              <w:left w:val="single" w:color="375623" w:sz="4"/>
              <w:bottom w:val="single" w:color="375623" w:sz="4"/>
              <w:right w:val="single" w:color="375623"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IMPACT</w:t>
            </w:r>
          </w:p>
          <w:p>
            <w:pPr>
              <w:jc w:val="center"/>
            </w:pPr>
            <w:r>
              <w:rPr>
                <w:rFonts w:ascii="Arial" w:cs="Arial" w:eastAsia="Arial" w:hAnsi="Arial"/>
                <w:b/>
                <w:bCs/>
                <w:color w:val="375623"/>
                <w:sz w:val="17"/>
                <w:szCs w:val="17"/>
              </w:rPr>
              <w:t xml:space="preserve">HIGH</w:t>
            </w:r>
          </w:p>
        </w:tc>
        <w:tc>
          <w:tcPr>
            <w:tcW w:type="dxa" w:w="9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EFFORT</w:t>
            </w:r>
          </w:p>
          <w:p>
            <w:pPr>
              <w:jc w:val="center"/>
            </w:pPr>
            <w:r>
              <w:rPr>
                <w:rFonts w:ascii="Arial" w:cs="Arial" w:eastAsia="Arial" w:hAnsi="Arial"/>
                <w:b/>
                <w:bCs/>
                <w:color w:val="444444"/>
                <w:sz w:val="17"/>
                <w:szCs w:val="17"/>
              </w:rPr>
              <w:t xml:space="preserve">HIGH</w:t>
            </w:r>
          </w:p>
        </w:tc>
        <w:tc>
          <w:tcPr>
            <w:tcW w:type="dxa" w:w="900"/>
            <w:tcBorders>
              <w:top w:val="single" w:color="C00000" w:sz="4"/>
              <w:left w:val="single" w:color="C00000" w:sz="4"/>
              <w:bottom w:val="single" w:color="C00000" w:sz="4"/>
              <w:right w:val="single" w:color="C00000"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RISK</w:t>
            </w:r>
          </w:p>
          <w:p>
            <w:pPr>
              <w:jc w:val="center"/>
            </w:pPr>
            <w:r>
              <w:rPr>
                <w:rFonts w:ascii="Arial" w:cs="Arial" w:eastAsia="Arial" w:hAnsi="Arial"/>
                <w:b/>
                <w:bCs/>
                <w:color w:val="C00000"/>
                <w:sz w:val="17"/>
                <w:szCs w:val="17"/>
              </w:rPr>
              <w:t xml:space="preserve">HIGH</w:t>
            </w:r>
          </w:p>
        </w:tc>
      </w:tr>
    </w:tbl>
    <w:p>
      <w:pPr>
        <w:spacing w:before="120" w:after="0"/>
      </w:pPr>
    </w:p>
    <w:p>
      <w:pPr>
        <w:spacing w:before="200" w:after="60"/>
      </w:pPr>
      <w:r>
        <w:rPr>
          <w:rFonts w:ascii="Arial" w:cs="Arial" w:eastAsia="Arial" w:hAnsi="Arial"/>
          <w:b/>
          <w:bCs/>
          <w:color w:val="1F3864"/>
          <w:sz w:val="22"/>
          <w:szCs w:val="22"/>
        </w:rPr>
        <w:t xml:space="preserve">MEDIUM-TERM — Strategic Initiatives (6–24 Months)</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980"/>
        <w:gridCol w:w="900"/>
        <w:gridCol w:w="900"/>
        <w:gridCol w:w="900"/>
      </w:tblGrid>
      <w:tr>
        <w:tc>
          <w:tcPr>
            <w:tcW w:type="dxa" w:w="1200"/>
            <w:tcBorders>
              <w:top w:val="single" w:color="7F6000" w:sz="4"/>
              <w:left w:val="single" w:color="7F6000" w:sz="4"/>
              <w:bottom w:val="single" w:color="7F6000" w:sz="4"/>
              <w:right w:val="single" w:color="7F6000" w:sz="4"/>
            </w:tcBorders>
            <w:shd w:fill="7F6000"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MEDIUM-TERM</w:t>
            </w:r>
          </w:p>
        </w:tc>
        <w:tc>
          <w:tcPr>
            <w:tcW w:type="dxa" w:w="22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SAHI Consolidation: Assess Inorganic Scale Options</w:t>
            </w:r>
          </w:p>
        </w:tc>
        <w:tc>
          <w:tcPr>
            <w:tcW w:type="dxa" w:w="3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Conduct detailed M&amp;A or partnership screening of Care Health, ManipalCigna, and Niva Bupa. All three are operationally sound (ICR below 0.80), growing above sector average, but sub-scale relative to Star Health. A combination of any two of these entities would create a ₹5,000–7,000 Crore insurer with credible second-position in the SAHI segment. Capital-constrained growth is a structural vulnerability for smaller SAHI players; strategic combinations address this efficiently.</w:t>
            </w:r>
          </w:p>
        </w:tc>
        <w:tc>
          <w:tcPr>
            <w:tcW w:type="dxa" w:w="900"/>
            <w:tcBorders>
              <w:top w:val="single" w:color="375623" w:sz="4"/>
              <w:left w:val="single" w:color="375623" w:sz="4"/>
              <w:bottom w:val="single" w:color="375623" w:sz="4"/>
              <w:right w:val="single" w:color="375623"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IMPACT</w:t>
            </w:r>
          </w:p>
          <w:p>
            <w:pPr>
              <w:jc w:val="center"/>
            </w:pPr>
            <w:r>
              <w:rPr>
                <w:rFonts w:ascii="Arial" w:cs="Arial" w:eastAsia="Arial" w:hAnsi="Arial"/>
                <w:b/>
                <w:bCs/>
                <w:color w:val="375623"/>
                <w:sz w:val="17"/>
                <w:szCs w:val="17"/>
              </w:rPr>
              <w:t xml:space="preserve">HIGH</w:t>
            </w:r>
          </w:p>
        </w:tc>
        <w:tc>
          <w:tcPr>
            <w:tcW w:type="dxa" w:w="9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EFFORT</w:t>
            </w:r>
          </w:p>
          <w:p>
            <w:pPr>
              <w:jc w:val="center"/>
            </w:pPr>
            <w:r>
              <w:rPr>
                <w:rFonts w:ascii="Arial" w:cs="Arial" w:eastAsia="Arial" w:hAnsi="Arial"/>
                <w:b/>
                <w:bCs/>
                <w:color w:val="444444"/>
                <w:sz w:val="17"/>
                <w:szCs w:val="17"/>
              </w:rPr>
              <w:t xml:space="preserve">HIGH</w:t>
            </w:r>
          </w:p>
        </w:tc>
        <w:tc>
          <w:tcPr>
            <w:tcW w:type="dxa" w:w="900"/>
            <w:tcBorders>
              <w:top w:val="single" w:color="7F6000" w:sz="4"/>
              <w:left w:val="single" w:color="7F6000" w:sz="4"/>
              <w:bottom w:val="single" w:color="7F6000" w:sz="4"/>
              <w:right w:val="single" w:color="7F6000"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RISK</w:t>
            </w:r>
          </w:p>
          <w:p>
            <w:pPr>
              <w:jc w:val="center"/>
            </w:pPr>
            <w:r>
              <w:rPr>
                <w:rFonts w:ascii="Arial" w:cs="Arial" w:eastAsia="Arial" w:hAnsi="Arial"/>
                <w:b/>
                <w:bCs/>
                <w:color w:val="7F6000"/>
                <w:sz w:val="17"/>
                <w:szCs w:val="17"/>
              </w:rPr>
              <w:t xml:space="preserve">MEDIUM</w:t>
            </w:r>
          </w:p>
        </w:tc>
      </w:tr>
    </w:tbl>
    <w:p>
      <w:pPr>
        <w:spacing w:before="1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980"/>
        <w:gridCol w:w="900"/>
        <w:gridCol w:w="900"/>
        <w:gridCol w:w="900"/>
      </w:tblGrid>
      <w:tr>
        <w:tc>
          <w:tcPr>
            <w:tcW w:type="dxa" w:w="1200"/>
            <w:tcBorders>
              <w:top w:val="single" w:color="7F6000" w:sz="4"/>
              <w:left w:val="single" w:color="7F6000" w:sz="4"/>
              <w:bottom w:val="single" w:color="7F6000" w:sz="4"/>
              <w:right w:val="single" w:color="7F6000" w:sz="4"/>
            </w:tcBorders>
            <w:shd w:fill="7F6000"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MEDIUM-TERM</w:t>
            </w:r>
          </w:p>
        </w:tc>
        <w:tc>
          <w:tcPr>
            <w:tcW w:type="dxa" w:w="22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Product Stratification for Mass Market</w:t>
            </w:r>
          </w:p>
        </w:tc>
        <w:tc>
          <w:tcPr>
            <w:tcW w:type="dxa" w:w="3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Design lower-premium, higher-volume product variants targeting Bihar, Jharkhand, Chhattisgarh, and North-Eastern states. Average premium per policy nationally has grown 85% from FY14 to FY22 (₹1,746 to ₹3,228), reflecting premium product emphasis. This growth has not been accompanied by proportional coverage expansion in lower-income geographies. A product at ₹1,200–1,800 annual premium per family, designed for district-hospital-level care in Tier 3 geographies, addresses an identifiable gap. Actuarial work should draw on state-level claims data from Table 76.</w:t>
            </w:r>
          </w:p>
        </w:tc>
        <w:tc>
          <w:tcPr>
            <w:tcW w:type="dxa" w:w="900"/>
            <w:tcBorders>
              <w:top w:val="single" w:color="7F6000" w:sz="4"/>
              <w:left w:val="single" w:color="7F6000" w:sz="4"/>
              <w:bottom w:val="single" w:color="7F6000" w:sz="4"/>
              <w:right w:val="single" w:color="7F6000"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IMPACT</w:t>
            </w:r>
          </w:p>
          <w:p>
            <w:pPr>
              <w:jc w:val="center"/>
            </w:pPr>
            <w:r>
              <w:rPr>
                <w:rFonts w:ascii="Arial" w:cs="Arial" w:eastAsia="Arial" w:hAnsi="Arial"/>
                <w:b/>
                <w:bCs/>
                <w:color w:val="7F6000"/>
                <w:sz w:val="17"/>
                <w:szCs w:val="17"/>
              </w:rPr>
              <w:t xml:space="preserve">MEDIUM</w:t>
            </w:r>
          </w:p>
        </w:tc>
        <w:tc>
          <w:tcPr>
            <w:tcW w:type="dxa" w:w="9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EFFORT</w:t>
            </w:r>
          </w:p>
          <w:p>
            <w:pPr>
              <w:jc w:val="center"/>
            </w:pPr>
            <w:r>
              <w:rPr>
                <w:rFonts w:ascii="Arial" w:cs="Arial" w:eastAsia="Arial" w:hAnsi="Arial"/>
                <w:b/>
                <w:bCs/>
                <w:color w:val="444444"/>
                <w:sz w:val="17"/>
                <w:szCs w:val="17"/>
              </w:rPr>
              <w:t xml:space="preserve">MEDIUM</w:t>
            </w:r>
          </w:p>
        </w:tc>
        <w:tc>
          <w:tcPr>
            <w:tcW w:type="dxa" w:w="900"/>
            <w:tcBorders>
              <w:top w:val="single" w:color="375623" w:sz="4"/>
              <w:left w:val="single" w:color="375623" w:sz="4"/>
              <w:bottom w:val="single" w:color="375623" w:sz="4"/>
              <w:right w:val="single" w:color="375623"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RISK</w:t>
            </w:r>
          </w:p>
          <w:p>
            <w:pPr>
              <w:jc w:val="center"/>
            </w:pPr>
            <w:r>
              <w:rPr>
                <w:rFonts w:ascii="Arial" w:cs="Arial" w:eastAsia="Arial" w:hAnsi="Arial"/>
                <w:b/>
                <w:bCs/>
                <w:color w:val="375623"/>
                <w:sz w:val="17"/>
                <w:szCs w:val="17"/>
              </w:rPr>
              <w:t xml:space="preserve">LOW</w:t>
            </w:r>
          </w:p>
        </w:tc>
      </w:tr>
    </w:tbl>
    <w:p>
      <w:pPr>
        <w:spacing w:before="120" w:after="0"/>
      </w:pPr>
    </w:p>
    <w:p>
      <w:pPr>
        <w:spacing w:before="200" w:after="60"/>
      </w:pPr>
      <w:r>
        <w:rPr>
          <w:rFonts w:ascii="Arial" w:cs="Arial" w:eastAsia="Arial" w:hAnsi="Arial"/>
          <w:b/>
          <w:bCs/>
          <w:color w:val="1F3864"/>
          <w:sz w:val="22"/>
          <w:szCs w:val="22"/>
        </w:rPr>
        <w:t xml:space="preserve">STRATEGIC — Long-Term Priorities (24+ Months)</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980"/>
        <w:gridCol w:w="900"/>
        <w:gridCol w:w="900"/>
        <w:gridCol w:w="900"/>
      </w:tblGrid>
      <w:tr>
        <w:tc>
          <w:tcPr>
            <w:tcW w:type="dxa" w:w="1200"/>
            <w:tcBorders>
              <w:top w:val="single" w:color="1F3864" w:sz="4"/>
              <w:left w:val="single" w:color="1F3864" w:sz="4"/>
              <w:bottom w:val="single" w:color="1F3864" w:sz="4"/>
              <w:right w:val="single" w:color="1F3864" w:sz="4"/>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STRATEGIC</w:t>
            </w:r>
          </w:p>
        </w:tc>
        <w:tc>
          <w:tcPr>
            <w:tcW w:type="dxa" w:w="22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Build Predictive Claims Intelligence Infrastructure</w:t>
            </w:r>
          </w:p>
        </w:tc>
        <w:tc>
          <w:tcPr>
            <w:tcW w:type="dxa" w:w="3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The sector-wide ICR trend (0.98 in FY15 to 1.09 in FY22) indicates persistent claims inflation. Investment in predictive underwriting models — integrating regional healthcare cost trajectories, TPA network provider data (Table 82), hospital admission rates, and actuarial loss development factors — would enable proactive premium adequacy management. This is a multi-year capability investment with compound returns across the product portfolio.</w:t>
            </w:r>
          </w:p>
        </w:tc>
        <w:tc>
          <w:tcPr>
            <w:tcW w:type="dxa" w:w="900"/>
            <w:tcBorders>
              <w:top w:val="single" w:color="375623" w:sz="4"/>
              <w:left w:val="single" w:color="375623" w:sz="4"/>
              <w:bottom w:val="single" w:color="375623" w:sz="4"/>
              <w:right w:val="single" w:color="375623"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IMPACT</w:t>
            </w:r>
          </w:p>
          <w:p>
            <w:pPr>
              <w:jc w:val="center"/>
            </w:pPr>
            <w:r>
              <w:rPr>
                <w:rFonts w:ascii="Arial" w:cs="Arial" w:eastAsia="Arial" w:hAnsi="Arial"/>
                <w:b/>
                <w:bCs/>
                <w:color w:val="375623"/>
                <w:sz w:val="17"/>
                <w:szCs w:val="17"/>
              </w:rPr>
              <w:t xml:space="preserve">HIGH</w:t>
            </w:r>
          </w:p>
        </w:tc>
        <w:tc>
          <w:tcPr>
            <w:tcW w:type="dxa" w:w="9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EFFORT</w:t>
            </w:r>
          </w:p>
          <w:p>
            <w:pPr>
              <w:jc w:val="center"/>
            </w:pPr>
            <w:r>
              <w:rPr>
                <w:rFonts w:ascii="Arial" w:cs="Arial" w:eastAsia="Arial" w:hAnsi="Arial"/>
                <w:b/>
                <w:bCs/>
                <w:color w:val="444444"/>
                <w:sz w:val="17"/>
                <w:szCs w:val="17"/>
              </w:rPr>
              <w:t xml:space="preserve">HIGH</w:t>
            </w:r>
          </w:p>
        </w:tc>
        <w:tc>
          <w:tcPr>
            <w:tcW w:type="dxa" w:w="900"/>
            <w:tcBorders>
              <w:top w:val="single" w:color="375623" w:sz="4"/>
              <w:left w:val="single" w:color="375623" w:sz="4"/>
              <w:bottom w:val="single" w:color="375623" w:sz="4"/>
              <w:right w:val="single" w:color="375623"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RISK</w:t>
            </w:r>
          </w:p>
          <w:p>
            <w:pPr>
              <w:jc w:val="center"/>
            </w:pPr>
            <w:r>
              <w:rPr>
                <w:rFonts w:ascii="Arial" w:cs="Arial" w:eastAsia="Arial" w:hAnsi="Arial"/>
                <w:b/>
                <w:bCs/>
                <w:color w:val="375623"/>
                <w:sz w:val="17"/>
                <w:szCs w:val="17"/>
              </w:rPr>
              <w:t xml:space="preserve">LOW</w:t>
            </w:r>
          </w:p>
        </w:tc>
      </w:tr>
    </w:tbl>
    <w:p>
      <w:pPr>
        <w:spacing w:before="1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980"/>
        <w:gridCol w:w="900"/>
        <w:gridCol w:w="900"/>
        <w:gridCol w:w="900"/>
      </w:tblGrid>
      <w:tr>
        <w:tc>
          <w:tcPr>
            <w:tcW w:type="dxa" w:w="1200"/>
            <w:tcBorders>
              <w:top w:val="single" w:color="1F3864" w:sz="4"/>
              <w:left w:val="single" w:color="1F3864" w:sz="4"/>
              <w:bottom w:val="single" w:color="1F3864" w:sz="4"/>
              <w:right w:val="single" w:color="1F3864" w:sz="4"/>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STRATEGIC</w:t>
            </w:r>
          </w:p>
        </w:tc>
        <w:tc>
          <w:tcPr>
            <w:tcW w:type="dxa" w:w="2200"/>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vAlign w:val="center"/>
          </w:tcPr>
          <w:p>
            <w:r>
              <w:rPr>
                <w:rFonts w:ascii="Arial" w:cs="Arial" w:eastAsia="Arial" w:hAnsi="Arial"/>
                <w:b/>
                <w:bCs/>
                <w:color w:val="1F3864"/>
                <w:sz w:val="19"/>
                <w:szCs w:val="19"/>
              </w:rPr>
              <w:t xml:space="preserve">IRDAI Regulatory Advocacy: Systemic ICR Governance</w:t>
            </w:r>
          </w:p>
        </w:tc>
        <w:tc>
          <w:tcPr>
            <w:tcW w:type="dxa" w:w="3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Advocate for the introduction of mandatory segment-level ICR disclosure with defined corrective action triggers (e.g., ICR above 1.20 for three consecutive years triggers a formal IRDAI review). PSU ICRs above 1.20 for the last four years of the dataset constitute a systemic risk to policyholder protection and to taxpayer capital. Formalising regulatory guardrails on ICR trajectories protects the market's long-term integrity and prevents socialisation of private underwriting failures.</w:t>
            </w:r>
          </w:p>
        </w:tc>
        <w:tc>
          <w:tcPr>
            <w:tcW w:type="dxa" w:w="900"/>
            <w:tcBorders>
              <w:top w:val="single" w:color="375623" w:sz="4"/>
              <w:left w:val="single" w:color="375623" w:sz="4"/>
              <w:bottom w:val="single" w:color="375623" w:sz="4"/>
              <w:right w:val="single" w:color="375623"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IMPACT</w:t>
            </w:r>
          </w:p>
          <w:p>
            <w:pPr>
              <w:jc w:val="center"/>
            </w:pPr>
            <w:r>
              <w:rPr>
                <w:rFonts w:ascii="Arial" w:cs="Arial" w:eastAsia="Arial" w:hAnsi="Arial"/>
                <w:b/>
                <w:bCs/>
                <w:color w:val="375623"/>
                <w:sz w:val="17"/>
                <w:szCs w:val="17"/>
              </w:rPr>
              <w:t xml:space="preserve">HIGH</w:t>
            </w:r>
          </w:p>
        </w:tc>
        <w:tc>
          <w:tcPr>
            <w:tcW w:type="dxa" w:w="900"/>
            <w:tcBorders>
              <w:top w:val="single" w:color="CCCCCC" w:sz="4"/>
              <w:left w:val="single" w:color="CCCCCC" w:sz="4"/>
              <w:bottom w:val="single" w:color="CCCCCC" w:sz="4"/>
              <w:right w:val="single" w:color="CCCCCC"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EFFORT</w:t>
            </w:r>
          </w:p>
          <w:p>
            <w:pPr>
              <w:jc w:val="center"/>
            </w:pPr>
            <w:r>
              <w:rPr>
                <w:rFonts w:ascii="Arial" w:cs="Arial" w:eastAsia="Arial" w:hAnsi="Arial"/>
                <w:b/>
                <w:bCs/>
                <w:color w:val="444444"/>
                <w:sz w:val="17"/>
                <w:szCs w:val="17"/>
              </w:rPr>
              <w:t xml:space="preserve">LOW</w:t>
            </w:r>
          </w:p>
        </w:tc>
        <w:tc>
          <w:tcPr>
            <w:tcW w:type="dxa" w:w="900"/>
            <w:tcBorders>
              <w:top w:val="single" w:color="375623" w:sz="4"/>
              <w:left w:val="single" w:color="375623" w:sz="4"/>
              <w:bottom w:val="single" w:color="375623" w:sz="4"/>
              <w:right w:val="single" w:color="375623" w:sz="4"/>
            </w:tcBorders>
            <w:shd w:fill="F5F5F5" w:val="clear"/>
            <w:tcMar>
              <w:top w:type="dxa" w:w="80"/>
              <w:left w:type="dxa" w:w="60"/>
              <w:bottom w:type="dxa" w:w="80"/>
              <w:right w:type="dxa" w:w="60"/>
            </w:tcMar>
            <w:vAlign w:val="center"/>
          </w:tcPr>
          <w:p>
            <w:pPr>
              <w:jc w:val="center"/>
            </w:pPr>
            <w:r>
              <w:rPr>
                <w:rFonts w:ascii="Arial" w:cs="Arial" w:eastAsia="Arial" w:hAnsi="Arial"/>
                <w:b/>
                <w:bCs/>
                <w:color w:val="888888"/>
                <w:sz w:val="15"/>
                <w:szCs w:val="15"/>
              </w:rPr>
              <w:t xml:space="preserve">RISK</w:t>
            </w:r>
          </w:p>
          <w:p>
            <w:pPr>
              <w:jc w:val="center"/>
            </w:pPr>
            <w:r>
              <w:rPr>
                <w:rFonts w:ascii="Arial" w:cs="Arial" w:eastAsia="Arial" w:hAnsi="Arial"/>
                <w:b/>
                <w:bCs/>
                <w:color w:val="375623"/>
                <w:sz w:val="17"/>
                <w:szCs w:val="17"/>
              </w:rPr>
              <w:t xml:space="preserve">LOW</w:t>
            </w:r>
          </w:p>
        </w:tc>
      </w:tr>
    </w:tbl>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10</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RISKS, LIMITATIONS &amp; DEPENDENCIES</w:t>
            </w:r>
          </w:p>
        </w:tc>
      </w:tr>
    </w:tbl>
    <w:p>
      <w:pPr>
        <w:spacing w:before="120" w:after="0"/>
      </w:pPr>
    </w:p>
    <w:p>
      <w:pPr>
        <w:pStyle w:val="Heading2"/>
        <w:spacing w:before="240" w:after="80"/>
      </w:pPr>
      <w:r>
        <w:rPr>
          <w:rFonts w:ascii="Arial" w:cs="Arial" w:eastAsia="Arial" w:hAnsi="Arial"/>
          <w:b/>
          <w:bCs/>
          <w:color w:val="2E5BBA"/>
          <w:sz w:val="24"/>
          <w:szCs w:val="24"/>
        </w:rPr>
        <w:t xml:space="preserve">Data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Limitation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 Issue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Analytical Impact</w:t>
            </w:r>
          </w:p>
        </w:tc>
        <w:tc>
          <w:tcPr>
            <w:tcW w:type="dxa" w:w="2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 Applied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ICR at total level only</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Segment-level ICR (Govt Sponsored, Group, Individual) is available in the source but not disaggregated in this analysis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Confounds category ICR comparison due to segment mix differences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Noted in all ICR commentary; segment-level extension recommended for next phase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 solvency / capital data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IRDAI Handbook Part III does not include solvency margin or capital adequacy ratios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Cannot assess insolvency risk from this dataset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Clearly excluded from scope; not inferred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 retention / persistency data</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Policyholder renewal rates and lapse ratios are not available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Cannot assess quality of book or customer lifetime value</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Not addressed in this analysis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Missing early-year SAHI data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Newer SAHI entrants have null or near-zero values in pre-entry years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CAGR calculation starts from first non-null year — overstates growth optically for late entrants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CAGRs clearly annotated with start year; flagged for Aditya Birla (FY17 entry) and Reliance Health</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State-level granularity only</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Geographic analysis cannot go below state level without supplementary data</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District-level whitespace not quantifiable from this dataset</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Scoped explicitly; district-level analysis recommended with NITI Aayog overlay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Single regulatory source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data from IRDAI Handbook; no independent cross-validation with insurer annual reports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Potential for unreported regulatory filing corrections or restatements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Grand Total validation (sums match) performed across all years</w:t>
            </w:r>
          </w:p>
        </w:tc>
      </w:tr>
    </w:tbl>
    <w:p>
      <w:pPr>
        <w:spacing w:before="80" w:after="0"/>
      </w:pPr>
    </w:p>
    <w:p>
      <w:pPr>
        <w:pStyle w:val="Heading2"/>
        <w:spacing w:before="240" w:after="80"/>
      </w:pPr>
      <w:r>
        <w:rPr>
          <w:rFonts w:ascii="Arial" w:cs="Arial" w:eastAsia="Arial" w:hAnsi="Arial"/>
          <w:b/>
          <w:bCs/>
          <w:color w:val="2E5BBA"/>
          <w:sz w:val="24"/>
          <w:szCs w:val="24"/>
        </w:rPr>
        <w:t xml:space="preserve">Analytical Constraints</w:t>
      </w:r>
    </w:p>
    <w:p>
      <w:pPr>
        <w:pStyle w:val="ListParagraph"/>
        <w:numPr>
          <w:ilvl w:val="0"/>
          <w:numId w:val="2"/>
        </w:numPr>
        <w:spacing w:before="40" w:after="40"/>
      </w:pPr>
      <w:r>
        <w:rPr>
          <w:rFonts w:ascii="Arial" w:cs="Arial" w:eastAsia="Arial" w:hAnsi="Arial"/>
          <w:b w:val="false"/>
          <w:bCs w:val="false"/>
          <w:color w:val="000000"/>
          <w:sz w:val="20"/>
          <w:szCs w:val="20"/>
        </w:rPr>
        <w:t xml:space="preserve">The GQI composite metric uses equal weighting for CAGR and underwriting efficiency. In contexts where capital efficiency is prioritised over growth (e.g., in a capital-constrained environment), this weighting may understate the importance of ICR.</w:t>
      </w:r>
    </w:p>
    <w:p>
      <w:pPr>
        <w:pStyle w:val="ListParagraph"/>
        <w:numPr>
          <w:ilvl w:val="0"/>
          <w:numId w:val="2"/>
        </w:numPr>
        <w:spacing w:before="40" w:after="40"/>
      </w:pPr>
      <w:r>
        <w:rPr>
          <w:rFonts w:ascii="Arial" w:cs="Arial" w:eastAsia="Arial" w:hAnsi="Arial"/>
          <w:b w:val="false"/>
          <w:bCs w:val="false"/>
          <w:color w:val="000000"/>
          <w:sz w:val="20"/>
          <w:szCs w:val="20"/>
        </w:rPr>
        <w:t xml:space="preserve">FY 2020-21 shows anomalous policy count for Grand Total (23.7 million, above FY22's 22.6 million), likely reflecting COVID-era group policy conversions. This affects YoY growth calculations for those two years. The 9-year CAGR is not materially affected.</w:t>
      </w:r>
    </w:p>
    <w:p>
      <w:pPr>
        <w:pStyle w:val="ListParagraph"/>
        <w:numPr>
          <w:ilvl w:val="0"/>
          <w:numId w:val="2"/>
        </w:numPr>
        <w:spacing w:before="40" w:after="40"/>
      </w:pPr>
      <w:r>
        <w:rPr>
          <w:rFonts w:ascii="Arial" w:cs="Arial" w:eastAsia="Arial" w:hAnsi="Arial"/>
          <w:b w:val="false"/>
          <w:bCs w:val="false"/>
          <w:color w:val="000000"/>
          <w:sz w:val="20"/>
          <w:szCs w:val="20"/>
        </w:rPr>
        <w:t xml:space="preserve">Premium CAGR for Private General appears lower than SAHI partly because several Private General insurers had strong starting-year premiums in FY14; SAHI players were smaller and benefited from a low base.</w:t>
      </w:r>
    </w:p>
    <w:p>
      <w:pPr>
        <w:spacing w:before="80" w:after="0"/>
      </w:pPr>
    </w:p>
    <w:p>
      <w:pPr>
        <w:pStyle w:val="Heading2"/>
        <w:spacing w:before="240" w:after="80"/>
      </w:pPr>
      <w:r>
        <w:rPr>
          <w:rFonts w:ascii="Arial" w:cs="Arial" w:eastAsia="Arial" w:hAnsi="Arial"/>
          <w:b/>
          <w:bCs/>
          <w:color w:val="2E5BBA"/>
          <w:sz w:val="24"/>
          <w:szCs w:val="24"/>
        </w:rPr>
        <w:t xml:space="preserve">External Dependencies</w:t>
      </w:r>
    </w:p>
    <w:p>
      <w:pPr>
        <w:pStyle w:val="ListParagraph"/>
        <w:numPr>
          <w:ilvl w:val="0"/>
          <w:numId w:val="2"/>
        </w:numPr>
        <w:spacing w:before="40" w:after="40"/>
      </w:pPr>
      <w:r>
        <w:rPr>
          <w:rFonts w:ascii="Arial" w:cs="Arial" w:eastAsia="Arial" w:hAnsi="Arial"/>
          <w:b w:val="false"/>
          <w:bCs w:val="false"/>
          <w:color w:val="000000"/>
          <w:sz w:val="20"/>
          <w:szCs w:val="20"/>
        </w:rPr>
        <w:t xml:space="preserve">IRDAI Data Publication: This analysis will require a full refresh upon publication of the FY 2022-23 Handbook. Key watch indicators are: PSU ICR crossing 1.30, SAHI segment share crossing 30%, and whether Star Health's ICR stabilises or continues upward.</w:t>
      </w:r>
    </w:p>
    <w:p>
      <w:pPr>
        <w:pStyle w:val="ListParagraph"/>
        <w:numPr>
          <w:ilvl w:val="0"/>
          <w:numId w:val="2"/>
        </w:numPr>
        <w:spacing w:before="40" w:after="40"/>
      </w:pPr>
      <w:r>
        <w:rPr>
          <w:rFonts w:ascii="Arial" w:cs="Arial" w:eastAsia="Arial" w:hAnsi="Arial"/>
          <w:b w:val="false"/>
          <w:bCs w:val="false"/>
          <w:color w:val="000000"/>
          <w:sz w:val="20"/>
          <w:szCs w:val="20"/>
        </w:rPr>
        <w:t xml:space="preserve">Government Scheme Economics: Any change in AB-PMJAY premium structure or scope, or introduction of a successor programme, will materially alter the Government Sponsored segment dynamics and PSU profitability trajectory.</w:t>
      </w:r>
    </w:p>
    <w:p>
      <w:pPr>
        <w:pStyle w:val="ListParagraph"/>
        <w:numPr>
          <w:ilvl w:val="0"/>
          <w:numId w:val="2"/>
        </w:numPr>
        <w:spacing w:before="40" w:after="40"/>
      </w:pPr>
      <w:r>
        <w:rPr>
          <w:rFonts w:ascii="Arial" w:cs="Arial" w:eastAsia="Arial" w:hAnsi="Arial"/>
          <w:b w:val="false"/>
          <w:bCs w:val="false"/>
          <w:color w:val="000000"/>
          <w:sz w:val="20"/>
          <w:szCs w:val="20"/>
        </w:rPr>
        <w:t xml:space="preserve">Regulatory Environment: IRDAI policy changes on insurer entry norms, SAHI licensing, product approval timelines, or solvency requirements could alter the competitive dynamics assumed in this report.</w:t>
      </w:r>
    </w:p>
    <w:p>
      <w:pPr>
        <w:pStyle w:val="ListParagraph"/>
        <w:numPr>
          <w:ilvl w:val="0"/>
          <w:numId w:val="2"/>
        </w:numPr>
        <w:spacing w:before="40" w:after="40"/>
      </w:pPr>
      <w:r>
        <w:rPr>
          <w:rFonts w:ascii="Arial" w:cs="Arial" w:eastAsia="Arial" w:hAnsi="Arial"/>
          <w:b w:val="false"/>
          <w:bCs w:val="false"/>
          <w:color w:val="000000"/>
          <w:sz w:val="20"/>
          <w:szCs w:val="20"/>
        </w:rPr>
        <w:t xml:space="preserve">Macro and Healthcare Inflation: The claims inflation trend is partially a healthcare cost inflation story. Any material change in hospital pricing, drug costs, or catastrophic event frequency will affect ICR trajectories across all categories.</w:t>
      </w:r>
    </w:p>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11</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CONCLUSION</w:t>
            </w:r>
          </w:p>
        </w:tc>
      </w:tr>
    </w:tbl>
    <w:p>
      <w:pPr>
        <w:spacing w:before="120" w:after="0"/>
      </w:pPr>
    </w:p>
    <w:p>
      <w:pPr>
        <w:pStyle w:val="Heading2"/>
        <w:spacing w:before="240" w:after="80"/>
      </w:pPr>
      <w:r>
        <w:rPr>
          <w:rFonts w:ascii="Arial" w:cs="Arial" w:eastAsia="Arial" w:hAnsi="Arial"/>
          <w:b/>
          <w:bCs/>
          <w:color w:val="2E5BBA"/>
          <w:sz w:val="24"/>
          <w:szCs w:val="24"/>
        </w:rPr>
        <w:t xml:space="preserve">Overall Assessment</w:t>
      </w:r>
    </w:p>
    <w:p>
      <w:pPr>
        <w:spacing w:before="60" w:after="60"/>
        <w:jc w:val="left"/>
      </w:pPr>
      <w:r>
        <w:rPr>
          <w:rFonts w:ascii="Arial" w:cs="Arial" w:eastAsia="Arial" w:hAnsi="Arial"/>
          <w:b w:val="false"/>
          <w:bCs w:val="false"/>
          <w:i w:val="false"/>
          <w:iCs w:val="false"/>
          <w:color w:val="000000"/>
          <w:sz w:val="20"/>
          <w:szCs w:val="20"/>
        </w:rPr>
        <w:t xml:space="preserve">The Indian health insurance market is in a phase of sustained structural growth, with robust demand drivers and a diversifying competitive landscape. The 19.5% premium CAGR over nine years reflects genuine market deepening — more people covered, higher-value products, and new insurer models — rather than simple inflation. The market is large enough, and growing fast enough, to accommodate multiple strategic plays simultaneously.</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The most important structural development in the period studied is the emergence of Stand-alone Health Insurers as a category that has simultaneously grown faster than any other segment and underwritten more prudently. This combination of attributes is rare in financial services and reflects the structural advantage of specialist focus: product design, risk selection, provider network management, and claims adjudication are all optimised for a single line of business.</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The most important structural risk in the period studied is the persistent and worsening PSU underwriting deficit. This is not a problem that resolves through operational improvement alone. It requires either Govt Sponsored scheme repricing, explicit fiscal subsidy for PSU health underwriting, or structural separation of commercial and social-mandate business within PSU insurers. None of these solutions is politically uncomplicated; all are analytically supportable from this data.</w:t>
      </w:r>
    </w:p>
    <w:p>
      <w:pPr>
        <w:spacing w:before="80" w:after="0"/>
      </w:pPr>
    </w:p>
    <w:p>
      <w:pPr>
        <w:pStyle w:val="Heading2"/>
        <w:spacing w:before="240" w:after="80"/>
      </w:pPr>
      <w:r>
        <w:rPr>
          <w:rFonts w:ascii="Arial" w:cs="Arial" w:eastAsia="Arial" w:hAnsi="Arial"/>
          <w:b/>
          <w:bCs/>
          <w:color w:val="2E5BBA"/>
          <w:sz w:val="24"/>
          <w:szCs w:val="24"/>
        </w:rPr>
        <w:t xml:space="preserve">Key Takeaways</w:t>
      </w:r>
    </w:p>
    <w:p>
      <w:pPr>
        <w:spacing w:before="60" w:after="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80"/>
        <w:gridCol w:w="8160"/>
        <w:gridCol w:w="1360"/>
      </w:tblGrid>
      <w:tr>
        <w:trPr>
          <w:tblHeader/>
        </w:trPr>
        <w:tc>
          <w:tcPr>
            <w:tcW w:type="dxa" w:w="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Takeaway</w:t>
            </w:r>
          </w:p>
        </w:tc>
        <w:tc>
          <w:tcPr>
            <w:tcW w:type="dxa" w:w="1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Confidence</w:t>
            </w:r>
          </w:p>
        </w:tc>
      </w:tr>
      <w:tr>
        <w:tc>
          <w:tcPr>
            <w:tcW w:type="dxa" w:w="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8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The health insurance market will continue growing; the structural drivers are multi-decade in nature.</w:t>
            </w:r>
          </w:p>
        </w:tc>
        <w:tc>
          <w:tcPr>
            <w:tcW w:type="dxa" w:w="1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HIGH</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SAHI is the category to watch; its growth-profitability combination is the benchmark the entire sector should aspire to.</w:t>
            </w:r>
          </w:p>
        </w:tc>
        <w:tc>
          <w:tcPr>
            <w:tcW w:type="dxa" w:w="1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HIGH</w:t>
            </w:r>
          </w:p>
        </w:tc>
      </w:tr>
      <w:tr>
        <w:tc>
          <w:tcPr>
            <w:tcW w:type="dxa" w:w="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dxa" w:w="8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PSU underwriting deficit requires regulatory or policy intervention; it will not self-correct.</w:t>
            </w:r>
          </w:p>
        </w:tc>
        <w:tc>
          <w:tcPr>
            <w:tcW w:type="dxa" w:w="1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HIGH</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Geographic white space is quantifiable and large; the data is sufficient to prioritise specific states for expansion.</w:t>
            </w:r>
          </w:p>
        </w:tc>
        <w:tc>
          <w:tcPr>
            <w:tcW w:type="dxa" w:w="1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HIGH</w:t>
            </w:r>
          </w:p>
        </w:tc>
      </w:tr>
      <w:tr>
        <w:tc>
          <w:tcPr>
            <w:tcW w:type="dxa" w:w="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w:t>
            </w:r>
          </w:p>
        </w:tc>
        <w:tc>
          <w:tcPr>
            <w:tcW w:type="dxa" w:w="8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Insurer consolidation within SAHI is logical and likely; the current fragmentation below Star Health is not structurally stable.</w:t>
            </w:r>
          </w:p>
        </w:tc>
        <w:tc>
          <w:tcPr>
            <w:tcW w:type="dxa" w:w="1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center"/>
          </w:tcPr>
          <w:p>
            <w:r>
              <w:rPr>
                <w:rFonts w:ascii="Arial" w:cs="Arial" w:eastAsia="Arial" w:hAnsi="Arial"/>
                <w:b/>
                <w:bCs/>
                <w:color w:val="7F6000"/>
                <w:sz w:val="18"/>
                <w:szCs w:val="18"/>
              </w:rPr>
              <w:t xml:space="preserve">MEDIUM</w:t>
            </w:r>
          </w:p>
        </w:tc>
      </w:tr>
    </w:tbl>
    <w:p>
      <w:pPr>
        <w:spacing w:before="80" w:after="0"/>
      </w:pPr>
    </w:p>
    <w:p>
      <w:pPr>
        <w:pStyle w:val="Heading2"/>
        <w:spacing w:before="240" w:after="80"/>
      </w:pPr>
      <w:r>
        <w:rPr>
          <w:rFonts w:ascii="Arial" w:cs="Arial" w:eastAsia="Arial" w:hAnsi="Arial"/>
          <w:b/>
          <w:bCs/>
          <w:color w:val="2E5BBA"/>
          <w:sz w:val="24"/>
          <w:szCs w:val="24"/>
        </w:rPr>
        <w:t xml:space="preserve">Decision Guidance</w:t>
      </w:r>
    </w:p>
    <w:p>
      <w:pPr>
        <w:spacing w:before="60" w:after="60"/>
        <w:jc w:val="left"/>
      </w:pPr>
      <w:r>
        <w:rPr>
          <w:rFonts w:ascii="Arial" w:cs="Arial" w:eastAsia="Arial" w:hAnsi="Arial"/>
          <w:b w:val="false"/>
          <w:bCs w:val="false"/>
          <w:i w:val="false"/>
          <w:iCs w:val="false"/>
          <w:color w:val="000000"/>
          <w:sz w:val="20"/>
          <w:szCs w:val="20"/>
        </w:rPr>
        <w:t xml:space="preserve">For market entry decisions: the data most strongly supports entry or expansion in the SAHI segment, with retail Individual Floater products, in geographically under-penetrated states. This is the combination of highest expected return and structurally sound risk profile.</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For policy decisions: immediate priority should be placed on quantifying the fiscal exposure represented by the PSU Government Sponsored segment deficit and designing a durable repricing or fiscal subsidy mechanism. The current situation represents an unrecognised contingent liability.</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For investment decisions: the GQI Tier 1 cluster (SBI General, Tata AIG, Care Health, Niva Bupa, ManipalCigna, Aditya Birla Health) represents the sector's most attractive risk-adjusted performance profile. These entities are growing rapidly while maintaining underwriting discipline. Sub-scale size is their primary constraint, not strategic or operational weakness.</w:t>
      </w:r>
    </w:p>
    <w:p>
      <w:pPr>
        <w:spacing w:before="80" w:after="0"/>
      </w:pPr>
    </w:p>
    <w:p>
      <w:pPr>
        <w:spacing w:before="60" w:after="60"/>
        <w:jc w:val="left"/>
      </w:pPr>
      <w:r>
        <w:rPr>
          <w:rFonts w:ascii="Arial" w:cs="Arial" w:eastAsia="Arial" w:hAnsi="Arial"/>
          <w:b/>
          <w:bCs/>
          <w:i w:val="false"/>
          <w:iCs w:val="false"/>
          <w:color w:val="000000"/>
          <w:sz w:val="20"/>
          <w:szCs w:val="20"/>
        </w:rPr>
        <w:t xml:space="preserve">This analysis is decision-grade. The findings are grounded in nine years of official regulatory data, internally consistent, and directly actionable across the decision areas identified in Section 3.</w:t>
      </w:r>
    </w:p>
    <w:p>
      <w:pPr>
        <w:spacing w:before="120" w:after="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c>
          <w:tcPr>
            <w:tcW w:type="dxa" w:w="806"/>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32"/>
                <w:szCs w:val="32"/>
              </w:rPr>
              <w:t xml:space="preserve">12</w:t>
            </w:r>
          </w:p>
        </w:tc>
        <w:tc>
          <w:tcPr>
            <w:tcW w:type="dxa" w:w="9274"/>
            <w:tcBorders>
              <w:top w:val="single" w:color="1F3864" w:sz="4"/>
              <w:left w:val="single" w:color="1F3864" w:sz="4"/>
              <w:bottom w:val="single" w:color="1F3864" w:sz="4"/>
              <w:right w:val="single" w:color="1F3864" w:sz="4"/>
            </w:tcBorders>
            <w:shd w:fill="1F3864" w:val="clear"/>
            <w:tcMar>
              <w:top w:type="dxa" w:w="80"/>
              <w:left w:type="dxa" w:w="160"/>
              <w:bottom w:type="dxa" w:w="80"/>
              <w:right w:type="dxa" w:w="80"/>
            </w:tcMar>
            <w:vAlign w:val="center"/>
          </w:tcPr>
          <w:p>
            <w:r>
              <w:rPr>
                <w:rFonts w:ascii="Arial" w:cs="Arial" w:eastAsia="Arial" w:hAnsi="Arial"/>
                <w:b/>
                <w:bCs/>
                <w:color w:val="FFFFFF"/>
                <w:sz w:val="26"/>
                <w:szCs w:val="26"/>
              </w:rPr>
              <w:t xml:space="preserve">APPENDIX — DEFINITIONS, NOTES &amp; CLARIFICATIONS</w:t>
            </w:r>
          </w:p>
        </w:tc>
      </w:tr>
    </w:tbl>
    <w:p>
      <w:pPr>
        <w:spacing w:before="120" w:after="0"/>
      </w:pPr>
    </w:p>
    <w:p>
      <w:pPr>
        <w:pStyle w:val="Heading2"/>
        <w:spacing w:before="240" w:after="80"/>
      </w:pPr>
      <w:r>
        <w:rPr>
          <w:rFonts w:ascii="Arial" w:cs="Arial" w:eastAsia="Arial" w:hAnsi="Arial"/>
          <w:b/>
          <w:bCs/>
          <w:color w:val="2E5BBA"/>
          <w:sz w:val="24"/>
          <w:szCs w:val="24"/>
        </w:rPr>
        <w:t xml:space="preserve">A. Key Definitions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IRDAI</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Insurance Regulatory and Development Authority of India. Statutory regulator for the Indian insurance sector under the Insurance Regulatory and Development Authority Act, 1999.</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SAHI</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Stand-alone Health Insurer. An insurer licensed solely to underwrite health insurance, as distinct from General Insurers who underwrite multiple non-life lines including health.</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Incurred Claims Ratio (ICR)</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Claims Incurred (Net) divided by Net Earned Premium. An ICR of 1.0 means claims exactly equal premium. ICR &gt; 1.0 means the insurer paid out more in claims than it earned in premium after reinsurance.</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Net Earned Premium (NEP)</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Gross premium collected minus outward reinsurance ceded, adjusted for unearned premium movement. Represents the insurer's retained risk financing.</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CAGR</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Compound Annual Growth Rate. The geometric mean annual growth rate over a multi-year period. Formula: (End Value / Start Value)^(1/n) – 1, where n is the number of years.</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AB-PMJAY</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Ayushman Bharat – Pradhan Mantri Jan Arogya Yojana. India's flagship government-funded health protection scheme, replacing RSBY in 2018-19. Provides up to ₹5 lakh annual coverage per family for secondary and tertiary hospitalisation.</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RSBY</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Rashtriya Swasthya Bima Yojana. Predecessor government health scheme to AB-PMJAY, providing ₹30,000 annual coverage for Below Poverty Line families.</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GQI</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Growth-Quality Index. Composite insurer ranking metric constructed for this analysis: 50% weight to 9-year premium CAGR rank, 50% weight to FY22 Underwriting Efficiency Score rank, normalised to 0–100 scale.</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Underwriting Efficiency Score (UES)</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Derived metric: Max(0, (1.5 – ICR) / 1.5) × 100. Scales ICR to a 0–100 score where 100 = perfect underwriting (ICR of 0) and 0 = ICR of 1.5 or above. Purpose: enable composite ranking without ICR unit distortion.</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Individual Floater Policy</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A health insurance policy covering a family under a single sum insured, where any family member can utilise the full cover. Distinct from Individual (non-floater) which assigns per-person sub-limits.</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Gross Premium (₹ Lakh / Crore)</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Total premium collected from policyholders before deduction of outward reinsurance or return premiums. 1 Crore = 100 Lakh = 10 Million.</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Persons Covered (000s)</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Total number of individuals covered under all policies as reported to IRDAI. Expressed in thousands in source data.</w:t>
            </w:r>
          </w:p>
        </w:tc>
      </w:tr>
    </w:tbl>
    <w:p>
      <w:pPr>
        <w:spacing w:before="120" w:after="0"/>
      </w:pPr>
    </w:p>
    <w:p>
      <w:pPr>
        <w:pStyle w:val="Heading2"/>
        <w:spacing w:before="240" w:after="80"/>
      </w:pPr>
      <w:r>
        <w:rPr>
          <w:rFonts w:ascii="Arial" w:cs="Arial" w:eastAsia="Arial" w:hAnsi="Arial"/>
          <w:b/>
          <w:bCs/>
          <w:color w:val="2E5BBA"/>
          <w:sz w:val="24"/>
          <w:szCs w:val="24"/>
        </w:rPr>
        <w:t xml:space="preserve">B. Data Source Reference</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Publication</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Handbook on Indian Insurance Statistics 2021-22, Part III: Health Insurance</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Publisher</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Insurance Regulatory and Development Authority of India (IRDAI)</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Primary Tables Used</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Table 62, Table 66, Table 71</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Supporting Tables Referenced</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Tables 63, 72, 76, 81, 82 (contextual reference; not primary analysis sources)</w:t>
            </w:r>
          </w:p>
        </w:tc>
      </w:tr>
      <w:tr>
        <w:tc>
          <w:tcPr>
            <w:tcW w:type="dxa" w:w="3024"/>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b/>
                <w:bCs/>
                <w:color w:val="1F3864"/>
                <w:sz w:val="19"/>
                <w:szCs w:val="19"/>
              </w:rPr>
              <w:t xml:space="preserve">Official Website</w:t>
            </w:r>
          </w:p>
        </w:tc>
        <w:tc>
          <w:tcPr>
            <w:tcW w:type="dxa" w:w="7056"/>
            <w:tcBorders>
              <w:top w:val="single" w:color="CCCCCC" w:sz="4"/>
              <w:left w:val="single" w:color="CCCCCC" w:sz="4"/>
              <w:bottom w:val="single" w:color="CCCCCC" w:sz="4"/>
              <w:right w:val="single" w:color="CCCCCC" w:sz="4"/>
            </w:tcBorders>
            <w:shd w:fill="DAEEF3" w:val="clear"/>
            <w:tcMar>
              <w:top w:type="dxa" w:w="80"/>
              <w:left w:type="dxa" w:w="120"/>
              <w:bottom w:type="dxa" w:w="80"/>
              <w:right w:type="dxa" w:w="120"/>
            </w:tcMar>
          </w:tcPr>
          <w:p>
            <w:r>
              <w:rPr>
                <w:rFonts w:ascii="Arial" w:cs="Arial" w:eastAsia="Arial" w:hAnsi="Arial"/>
                <w:color w:val="222222"/>
                <w:sz w:val="19"/>
                <w:szCs w:val="19"/>
              </w:rPr>
              <w:t xml:space="preserve">www.irdai.gov.in</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Data Format</w:t>
            </w:r>
          </w:p>
        </w:tc>
        <w:tc>
          <w:tcPr>
            <w:tcW w:type="dxa" w:w="70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19"/>
                <w:szCs w:val="19"/>
              </w:rPr>
              <w:t xml:space="preserve">Excel workbook (.xlsx) with multi-level merged-cell headers</w:t>
            </w:r>
          </w:p>
        </w:tc>
      </w:tr>
    </w:tbl>
    <w:p>
      <w:pPr>
        <w:spacing w:before="120" w:after="0"/>
      </w:pPr>
    </w:p>
    <w:p>
      <w:pPr>
        <w:pStyle w:val="Heading2"/>
        <w:spacing w:before="240" w:after="80"/>
      </w:pPr>
      <w:r>
        <w:rPr>
          <w:rFonts w:ascii="Arial" w:cs="Arial" w:eastAsia="Arial" w:hAnsi="Arial"/>
          <w:b/>
          <w:bCs/>
          <w:color w:val="2E5BBA"/>
          <w:sz w:val="24"/>
          <w:szCs w:val="24"/>
        </w:rPr>
        <w:t xml:space="preserve">C. Analytical Notes</w:t>
      </w:r>
    </w:p>
    <w:p>
      <w:pPr>
        <w:pStyle w:val="ListParagraph"/>
        <w:numPr>
          <w:ilvl w:val="0"/>
          <w:numId w:val="2"/>
        </w:numPr>
        <w:spacing w:before="40" w:after="40"/>
      </w:pPr>
      <w:r>
        <w:rPr>
          <w:rFonts w:ascii="Arial" w:cs="Arial" w:eastAsia="Arial" w:hAnsi="Arial"/>
          <w:b w:val="false"/>
          <w:bCs w:val="false"/>
          <w:color w:val="000000"/>
          <w:sz w:val="20"/>
          <w:szCs w:val="20"/>
        </w:rPr>
        <w:t xml:space="preserve">All percentage market share calculations use the FY 2021-22 Grand Total gross premium of ₹73,052 Crore as denominator unless otherwise stated.</w:t>
      </w:r>
    </w:p>
    <w:p>
      <w:pPr>
        <w:pStyle w:val="ListParagraph"/>
        <w:numPr>
          <w:ilvl w:val="0"/>
          <w:numId w:val="2"/>
        </w:numPr>
        <w:spacing w:before="40" w:after="40"/>
      </w:pPr>
      <w:r>
        <w:rPr>
          <w:rFonts w:ascii="Arial" w:cs="Arial" w:eastAsia="Arial" w:hAnsi="Arial"/>
          <w:b w:val="false"/>
          <w:bCs w:val="false"/>
          <w:color w:val="000000"/>
          <w:sz w:val="20"/>
          <w:szCs w:val="20"/>
        </w:rPr>
        <w:t xml:space="preserve">CAGR for Aditya Birla Health Insurance is calculated from FY 2016-17 (first material revenue year) rather than FY 2013-14 to avoid distortion from zero base. This yields an 8-year CAGR from FY17 to FY22.</w:t>
      </w:r>
    </w:p>
    <w:p>
      <w:pPr>
        <w:pStyle w:val="ListParagraph"/>
        <w:numPr>
          <w:ilvl w:val="0"/>
          <w:numId w:val="2"/>
        </w:numPr>
        <w:spacing w:before="40" w:after="40"/>
      </w:pPr>
      <w:r>
        <w:rPr>
          <w:rFonts w:ascii="Arial" w:cs="Arial" w:eastAsia="Arial" w:hAnsi="Arial"/>
          <w:b w:val="false"/>
          <w:bCs w:val="false"/>
          <w:color w:val="000000"/>
          <w:sz w:val="20"/>
          <w:szCs w:val="20"/>
        </w:rPr>
        <w:t xml:space="preserve">Reliance Health Insurance is excluded from all individual SAHI trend charts due to the negative premium anomaly in FY 2021-22. It is included in SAHI Total aggregates as reported.</w:t>
      </w:r>
    </w:p>
    <w:p>
      <w:pPr>
        <w:pStyle w:val="ListParagraph"/>
        <w:numPr>
          <w:ilvl w:val="0"/>
          <w:numId w:val="2"/>
        </w:numPr>
        <w:spacing w:before="40" w:after="40"/>
      </w:pPr>
      <w:r>
        <w:rPr>
          <w:rFonts w:ascii="Arial" w:cs="Arial" w:eastAsia="Arial" w:hAnsi="Arial"/>
          <w:b w:val="false"/>
          <w:bCs w:val="false"/>
          <w:color w:val="000000"/>
          <w:sz w:val="20"/>
          <w:szCs w:val="20"/>
        </w:rPr>
        <w:t xml:space="preserve">Average premium per person (₹) = Gross Premium (₹ Lakh) × 100,000 ÷ (Persons Covered × 1,000). This converts both numerator (Lakh to ₹) and denominator (000s to persons).</w:t>
      </w:r>
    </w:p>
    <w:p>
      <w:pPr>
        <w:pStyle w:val="ListParagraph"/>
        <w:numPr>
          <w:ilvl w:val="0"/>
          <w:numId w:val="2"/>
        </w:numPr>
        <w:spacing w:before="40" w:after="40"/>
      </w:pPr>
      <w:r>
        <w:rPr>
          <w:rFonts w:ascii="Arial" w:cs="Arial" w:eastAsia="Arial" w:hAnsi="Arial"/>
          <w:b w:val="false"/>
          <w:bCs w:val="false"/>
          <w:color w:val="000000"/>
          <w:sz w:val="20"/>
          <w:szCs w:val="20"/>
        </w:rPr>
        <w:t xml:space="preserve">Tier classification thresholds: Tier 1 (GQI ≥ 65), Tier 2 (45 ≤ GQI &lt; 65), Tier 3 (GQI &lt; 45). These thresholds were set to produce a distribution reflecting meaningful performance differentiation rather than equal-thirds partitioning.</w:t>
      </w:r>
    </w:p>
    <w:p>
      <w:pPr>
        <w:pStyle w:val="ListParagraph"/>
        <w:numPr>
          <w:ilvl w:val="0"/>
          <w:numId w:val="2"/>
        </w:numPr>
        <w:spacing w:before="40" w:after="40"/>
      </w:pPr>
      <w:r>
        <w:rPr>
          <w:rFonts w:ascii="Arial" w:cs="Arial" w:eastAsia="Arial" w:hAnsi="Arial"/>
          <w:b w:val="false"/>
          <w:bCs w:val="false"/>
          <w:color w:val="000000"/>
          <w:sz w:val="20"/>
          <w:szCs w:val="20"/>
        </w:rPr>
        <w:t xml:space="preserve">The FY 2020-21 anomaly in total policy count (23.7M vs FY22's 22.6M) is assessed as a reflection of COVID-era group policy changes and is noted but not imputed or adjusted. The 9-year CAGR calculation anchors at FY14 and FY22 and is not materially affected.</w:t>
      </w:r>
    </w:p>
    <w:p>
      <w:pPr>
        <w:spacing w:before="120" w:after="0"/>
      </w:pPr>
    </w:p>
    <w:p>
      <w:pPr>
        <w:pStyle w:val="Heading2"/>
        <w:spacing w:before="240" w:after="80"/>
      </w:pPr>
      <w:r>
        <w:rPr>
          <w:rFonts w:ascii="Arial" w:cs="Arial" w:eastAsia="Arial" w:hAnsi="Arial"/>
          <w:b/>
          <w:bCs/>
          <w:color w:val="2E5BBA"/>
          <w:sz w:val="24"/>
          <w:szCs w:val="24"/>
        </w:rPr>
        <w:t xml:space="preserve">D. Report Preparation Certification</w:t>
      </w:r>
    </w:p>
    <w:p>
      <w:pPr>
        <w:spacing w:before="60" w:after="0"/>
      </w:pPr>
    </w:p>
    <w:p>
      <w:pPr>
        <w:spacing w:before="60" w:after="60"/>
        <w:jc w:val="left"/>
      </w:pPr>
      <w:r>
        <w:rPr>
          <w:rFonts w:ascii="Arial" w:cs="Arial" w:eastAsia="Arial" w:hAnsi="Arial"/>
          <w:b w:val="false"/>
          <w:bCs w:val="false"/>
          <w:i w:val="false"/>
          <w:iCs w:val="false"/>
          <w:color w:val="000000"/>
          <w:sz w:val="20"/>
          <w:szCs w:val="20"/>
        </w:rPr>
        <w:t xml:space="preserve">This report has been prepared by a Principal Data Analyst with 12–15 years of analytical experience, working from completed analysis outputs as at 28 February 2026. All findings are grounded in the IRDAI dataset as described. No forward projections beyond the scope of the nine-year historical dataset have been made. All assumptions are documented in Section 4 and the data cleaning log of the supporting analytical workbook.</w:t>
      </w:r>
    </w:p>
    <w:p>
      <w:pPr>
        <w:spacing w:before="40" w:after="0"/>
      </w:pPr>
    </w:p>
    <w:p>
      <w:pPr>
        <w:spacing w:before="60" w:after="60"/>
        <w:jc w:val="left"/>
      </w:pPr>
      <w:r>
        <w:rPr>
          <w:rFonts w:ascii="Arial" w:cs="Arial" w:eastAsia="Arial" w:hAnsi="Arial"/>
          <w:b w:val="false"/>
          <w:bCs w:val="false"/>
          <w:i w:val="false"/>
          <w:iCs w:val="false"/>
          <w:color w:val="000000"/>
          <w:sz w:val="20"/>
          <w:szCs w:val="20"/>
        </w:rPr>
        <w:t xml:space="preserve">The report is intended for internal distribution to senior stakeholders and decision-makers. Reproduction or distribution outside the intended audience requires explicit approval from the Analytics &amp; Insights Centre of Excellence.</w:t>
      </w:r>
    </w:p>
    <w:p>
      <w:pPr>
        <w:spacing w:before="120" w:after="0"/>
      </w:pPr>
    </w:p>
    <w:p>
      <w:pPr>
        <w:spacing w:before="200" w:after="200"/>
        <w:jc w:val="center"/>
      </w:pPr>
      <w:r>
        <w:rPr>
          <w:rFonts w:ascii="Arial" w:cs="Arial" w:eastAsia="Arial" w:hAnsi="Arial"/>
          <w:b/>
          <w:bCs/>
          <w:caps/>
          <w:color w:val="BBBBBB"/>
          <w:sz w:val="22"/>
          <w:szCs w:val="22"/>
        </w:rPr>
        <w:t xml:space="preserve">— END OF REPORT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AAAAAA"/>
        <w:sz w:val="15"/>
        <w:szCs w:val="15"/>
      </w:rPr>
      <w:t xml:space="preserve">INTERNAL DISTRIBUTION ONLY  |  Principal Data Analyst  |  Analytics &amp; Insights Centre of Excellence  |  28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56"/>
      <w:gridCol w:w="3024"/>
    </w:tblGrid>
    <w:tr>
      <w:tc>
        <w:tcPr>
          <w:tcW w:type="dxa" w:w="7056"/>
          <w:tcBorders>
            <w:top w:val="none" w:color="FFFFFF" w:sz="0"/>
            <w:left w:val="none" w:color="FFFFFF" w:sz="0"/>
            <w:bottom w:val="single" w:color="1F3864" w:sz="4"/>
            <w:right w:val="none" w:color="FFFFFF" w:sz="0"/>
          </w:tcBorders>
          <w:shd w:fill="FFFFFF" w:val="clear"/>
          <w:tcMar>
            <w:top w:type="dxa" w:w="40"/>
            <w:left w:type="dxa" w:w="0"/>
            <w:bottom w:type="dxa" w:w="40"/>
            <w:right w:type="dxa" w:w="0"/>
          </w:tcMar>
        </w:tcPr>
        <w:p>
          <w:r>
            <w:rPr>
              <w:rFonts w:ascii="Arial" w:cs="Arial" w:eastAsia="Arial" w:hAnsi="Arial"/>
              <w:color w:val="666666"/>
              <w:sz w:val="16"/>
              <w:szCs w:val="16"/>
            </w:rPr>
            <w:t xml:space="preserve">Indian Health Insurance Market — Formal Analysis Report  |  IRDAI FY 2021-22</w:t>
          </w:r>
        </w:p>
      </w:tc>
      <w:tc>
        <w:tcPr>
          <w:tcW w:type="dxa" w:w="3024"/>
          <w:tcBorders>
            <w:top w:val="none" w:color="FFFFFF" w:sz="0"/>
            <w:left w:val="none" w:color="FFFFFF" w:sz="0"/>
            <w:bottom w:val="single" w:color="1F3864" w:sz="4"/>
            <w:right w:val="none" w:color="FFFFFF" w:sz="0"/>
          </w:tcBorders>
          <w:shd w:fill="FFFFFF" w:val="clear"/>
          <w:tcMar>
            <w:top w:type="dxa" w:w="40"/>
            <w:left w:type="dxa" w:w="0"/>
            <w:bottom w:type="dxa" w:w="40"/>
            <w:right w:type="dxa" w:w="0"/>
          </w:tcMar>
        </w:tcPr>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BB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2026-02-28T09:09:41.242Z</dcterms:created>
  <dcterms:modified xsi:type="dcterms:W3CDTF">2026-02-28T09:09:41.243Z</dcterms:modified>
</cp:coreProperties>
</file>

<file path=docProps/custom.xml><?xml version="1.0" encoding="utf-8"?>
<Properties xmlns="http://schemas.openxmlformats.org/officeDocument/2006/custom-properties" xmlns:vt="http://schemas.openxmlformats.org/officeDocument/2006/docPropsVTypes"/>
</file>