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center"/>
      </w:pPr>
      <w:r>
        <w:rPr>
          <w:rFonts w:ascii="Arial" w:cs="Arial" w:eastAsia="Arial" w:hAnsi="Arial"/>
          <w:b/>
          <w:bCs/>
          <w:caps/>
          <w:color w:val="C9A84C"/>
          <w:sz w:val="22"/>
          <w:szCs w:val="22"/>
        </w:rPr>
        <w:t xml:space="preserve">OSINT STRATEGIC INTELLIGENCE REPORT</w:t>
      </w:r>
    </w:p>
    <w:p>
      <w:pPr>
        <w:spacing w:before="60" w:after="60"/>
      </w:pPr>
    </w:p>
    <w:p>
      <w:pPr>
        <w:jc w:val="center"/>
      </w:pPr>
      <w:r>
        <w:rPr>
          <w:rFonts w:ascii="Arial" w:cs="Arial" w:eastAsia="Arial" w:hAnsi="Arial"/>
          <w:b/>
          <w:bCs/>
          <w:color w:val="0D1B2A"/>
          <w:sz w:val="56"/>
          <w:szCs w:val="56"/>
        </w:rPr>
        <w:t xml:space="preserve">THE THIRD GULF WAR</w:t>
      </w:r>
    </w:p>
    <w:p>
      <w:pPr>
        <w:jc w:val="center"/>
      </w:pPr>
      <w:r>
        <w:rPr>
          <w:rFonts w:ascii="Arial" w:cs="Arial" w:eastAsia="Arial" w:hAnsi="Arial"/>
          <w:color w:val="1B3A5C"/>
          <w:sz w:val="26"/>
          <w:szCs w:val="26"/>
        </w:rPr>
        <w:t xml:space="preserve">A Comprehensive OSINT Analysis of the</w:t>
      </w:r>
    </w:p>
    <w:p>
      <w:pPr>
        <w:jc w:val="center"/>
      </w:pPr>
      <w:r>
        <w:rPr>
          <w:rFonts w:ascii="Arial" w:cs="Arial" w:eastAsia="Arial" w:hAnsi="Arial"/>
          <w:b/>
          <w:bCs/>
          <w:color w:val="1B3A5C"/>
          <w:sz w:val="26"/>
          <w:szCs w:val="26"/>
        </w:rPr>
        <w:t xml:space="preserve">Iran – Israel – United States Conflict</w:t>
      </w:r>
    </w:p>
    <w:p>
      <w:pPr>
        <w:spacing w:before="60" w:after="200"/>
        <w:jc w:val="center"/>
      </w:pPr>
      <w:r>
        <w:rPr>
          <w:rFonts w:ascii="Arial" w:cs="Arial" w:eastAsia="Arial" w:hAnsi="Arial"/>
          <w:color w:val="2E6DA4"/>
          <w:sz w:val="22"/>
          <w:szCs w:val="22"/>
        </w:rPr>
        <w:t xml:space="preserve">October 2023 – 04 March 2026</w:t>
      </w:r>
    </w:p>
    <w:p>
      <w:pPr>
        <w:pBdr>
          <w:bottom w:val="single" w:color="C9A84C" w:sz="12" w:space="1"/>
        </w:pBdr>
      </w:pPr>
    </w:p>
    <w:p>
      <w:pPr>
        <w:spacing w:before="200" w:after="200"/>
      </w:pPr>
    </w:p>
    <w:p>
      <w:pPr>
        <w:jc w:val="center"/>
      </w:pPr>
      <w:r>
        <w:rPr>
          <w:rFonts w:ascii="Arial" w:cs="Arial" w:eastAsia="Arial" w:hAnsi="Arial"/>
          <w:color w:val="2E6DA4"/>
          <w:sz w:val="18"/>
          <w:szCs w:val="18"/>
        </w:rPr>
        <w:t xml:space="preserve">Classification: OPEN SOURCE  |  For: Analysts, Executives, Policymakers, Researchers</w:t>
      </w:r>
    </w:p>
    <w:p>
      <w:pPr>
        <w:jc w:val="center"/>
      </w:pPr>
      <w:r>
        <w:rPr>
          <w:rFonts w:ascii="Arial" w:cs="Arial" w:eastAsia="Arial" w:hAnsi="Arial"/>
          <w:color w:val="888888"/>
          <w:sz w:val="18"/>
          <w:szCs w:val="18"/>
        </w:rPr>
        <w:t xml:space="preserve">As of: 04 March 2026  |  Version: Final 1.0  |  Phase 3 Data: Preliminary</w:t>
      </w:r>
    </w:p>
    <w:p>
      <w:pPr>
        <w:spacing w:before="400" w:after="400"/>
      </w:pPr>
    </w:p>
    <w:p>
      <w:pPr>
        <w:jc w:val="center"/>
      </w:pPr>
      <w:r>
        <w:rPr>
          <w:rFonts w:ascii="Arial" w:cs="Arial" w:eastAsia="Arial" w:hAnsi="Arial"/>
          <w:color w:val="4A4A4A"/>
          <w:sz w:val="18"/>
          <w:szCs w:val="18"/>
        </w:rPr>
        <w:t xml:space="preserve">20+ Analytical Sheets  |  </w:t>
      </w:r>
      <w:r>
        <w:rPr>
          <w:rFonts w:ascii="Arial" w:cs="Arial" w:eastAsia="Arial" w:hAnsi="Arial"/>
          <w:color w:val="4A4A4A"/>
          <w:sz w:val="18"/>
          <w:szCs w:val="18"/>
        </w:rPr>
        <w:t xml:space="preserve">500+ Data Rows  |  </w:t>
      </w:r>
      <w:r>
        <w:rPr>
          <w:rFonts w:ascii="Arial" w:cs="Arial" w:eastAsia="Arial" w:hAnsi="Arial"/>
          <w:color w:val="4A4A4A"/>
          <w:sz w:val="18"/>
          <w:szCs w:val="18"/>
        </w:rPr>
        <w:t xml:space="preserve">4 Conflict Phases  |  </w:t>
      </w:r>
      <w:r>
        <w:rPr>
          <w:rFonts w:ascii="Arial" w:cs="Arial" w:eastAsia="Arial" w:hAnsi="Arial"/>
          <w:color w:val="4A4A4A"/>
          <w:sz w:val="18"/>
          <w:szCs w:val="18"/>
        </w:rPr>
        <w:t xml:space="preserve">S20 Bias Verification</w:t>
      </w: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EXECUTIVE SUMMARY</w:t>
      </w:r>
    </w:p>
    <w:p>
      <w:pPr>
        <w:shd w:fill="0D1B2A" w:val="clear"/>
        <w:spacing w:before="80" w:after="80"/>
        <w:ind w:left="200" w:right="200"/>
      </w:pPr>
      <w:r>
        <w:rPr>
          <w:rFonts w:ascii="Arial" w:cs="Arial" w:eastAsia="Arial" w:hAnsi="Arial"/>
          <w:b/>
          <w:bCs/>
          <w:color w:val="FFFFFF"/>
          <w:sz w:val="20"/>
          <w:szCs w:val="20"/>
        </w:rPr>
        <w:t xml:space="preserve">CLASSIFICATION: </w:t>
      </w:r>
      <w:r>
        <w:rPr>
          <w:rFonts w:ascii="Arial" w:cs="Arial" w:eastAsia="Arial" w:hAnsi="Arial"/>
          <w:color w:val="FFFFFF"/>
          <w:sz w:val="20"/>
          <w:szCs w:val="20"/>
        </w:rPr>
        <w:t xml:space="preserve">OPEN SOURCE INTELLIGENCE (OSINT) | As of 04 March 2026 | Phase 3 data preliminary</w:t>
      </w:r>
    </w:p>
    <w:p>
      <w:pPr>
        <w:spacing w:before="80" w:after="80"/>
      </w:pPr>
    </w:p>
    <w:p>
      <w:pPr>
        <w:pStyle w:val="Heading2"/>
        <w:spacing w:before="240" w:after="120"/>
      </w:pPr>
      <w:r>
        <w:rPr>
          <w:rFonts w:ascii="Arial" w:cs="Arial" w:eastAsia="Arial" w:hAnsi="Arial"/>
          <w:b/>
          <w:bCs/>
          <w:color w:val="1B3A5C"/>
          <w:sz w:val="24"/>
          <w:szCs w:val="24"/>
        </w:rPr>
        <w:t xml:space="preserve">Conflict in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3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 CONFIDENCE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Total Phases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4 (Phase 0–3)</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OSINT Dataset / High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Countries Directly Involved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3 (USA, Israel, Iran)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Confirmed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Active Proxy Groups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 (Hezbollah, Houthis, PMF, PIJ, others)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Confirmed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Israeli KIA (all phases)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~41 (Phase 3)</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IDF / High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Iranian KIA (all phases)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~1,977+ (all phases)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HRANA / Medium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Civilian Displacement (Iran)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200,000+ IDPs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OCHA / Medium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Stranded Migrant Workers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500,000+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IOM / Medium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Remittances at Risk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$65bn+/year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World Bank / Medium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Brent Crude Change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+13.5% ($72.5 to $82.3/bbl)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Bloomberg / High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Global Shipping Delay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+20 days (35 to 55 days)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Freightos / High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Hormuz Traffic Drop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~18% reduction (partial choke)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EIA / Medium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Global Recession Probability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25% (up from 10% in Jan 2026)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IMF/GS / Medium</w:t>
            </w:r>
          </w:p>
        </w:tc>
      </w:tr>
    </w:tbl>
    <w:p>
      <w:pPr>
        <w:spacing w:before="120" w:after="120"/>
      </w:pPr>
    </w:p>
    <w:p>
      <w:pPr>
        <w:pStyle w:val="Heading2"/>
        <w:spacing w:before="240" w:after="120"/>
      </w:pPr>
      <w:r>
        <w:rPr>
          <w:rFonts w:ascii="Arial" w:cs="Arial" w:eastAsia="Arial" w:hAnsi="Arial"/>
          <w:b/>
          <w:bCs/>
          <w:color w:val="1B3A5C"/>
          <w:sz w:val="24"/>
          <w:szCs w:val="24"/>
        </w:rPr>
        <w:t xml:space="preserve">Critical Inflection Points</w:t>
      </w:r>
    </w:p>
    <w:p>
      <w:pPr>
        <w:pStyle w:val="ListParagraph"/>
        <w:numPr>
          <w:ilvl w:val="0"/>
          <w:numId w:val="2"/>
        </w:numPr>
        <w:spacing w:before="40" w:after="40" w:line="276"/>
      </w:pPr>
      <w:r>
        <w:rPr>
          <w:rFonts w:ascii="Arial" w:cs="Arial" w:eastAsia="Arial" w:hAnsi="Arial"/>
          <w:color w:val="4A4A4A"/>
          <w:sz w:val="20"/>
          <w:szCs w:val="20"/>
        </w:rPr>
        <w:t xml:space="preserve">07 Oct 2023 — Hamas attack on Israel triggers regional escalation chain</w:t>
      </w:r>
    </w:p>
    <w:p>
      <w:pPr>
        <w:pStyle w:val="ListParagraph"/>
        <w:numPr>
          <w:ilvl w:val="0"/>
          <w:numId w:val="2"/>
        </w:numPr>
        <w:spacing w:before="40" w:after="40" w:line="276"/>
      </w:pPr>
      <w:r>
        <w:rPr>
          <w:rFonts w:ascii="Arial" w:cs="Arial" w:eastAsia="Arial" w:hAnsi="Arial"/>
          <w:color w:val="4A4A4A"/>
          <w:sz w:val="20"/>
          <w:szCs w:val="20"/>
        </w:rPr>
        <w:t xml:space="preserve">01 Apr 2024 — Israeli strike on Iranian consulate in Damascus crosses sovereign redline</w:t>
      </w:r>
    </w:p>
    <w:p>
      <w:pPr>
        <w:pStyle w:val="ListParagraph"/>
        <w:numPr>
          <w:ilvl w:val="0"/>
          <w:numId w:val="2"/>
        </w:numPr>
        <w:spacing w:before="40" w:after="40" w:line="276"/>
      </w:pPr>
      <w:r>
        <w:rPr>
          <w:rFonts w:ascii="Arial" w:cs="Arial" w:eastAsia="Arial" w:hAnsi="Arial"/>
          <w:color w:val="4A4A4A"/>
          <w:sz w:val="20"/>
          <w:szCs w:val="20"/>
        </w:rPr>
        <w:t xml:space="preserve">13 Jun 2025 — Israel launches Operation Rising Lion (pre-emptive war on Iran)</w:t>
      </w:r>
    </w:p>
    <w:p>
      <w:pPr>
        <w:pStyle w:val="ListParagraph"/>
        <w:numPr>
          <w:ilvl w:val="0"/>
          <w:numId w:val="2"/>
        </w:numPr>
        <w:spacing w:before="40" w:after="40" w:line="276"/>
      </w:pPr>
      <w:r>
        <w:rPr>
          <w:rFonts w:ascii="Arial" w:cs="Arial" w:eastAsia="Arial" w:hAnsi="Arial"/>
          <w:color w:val="4A4A4A"/>
          <w:sz w:val="20"/>
          <w:szCs w:val="20"/>
        </w:rPr>
        <w:t xml:space="preserve">24 Jun 2025 — Trump Doha Agreement achieves ceasefire (13 weeks; nuclear issue unresolved)</w:t>
      </w:r>
    </w:p>
    <w:p>
      <w:pPr>
        <w:pStyle w:val="ListParagraph"/>
        <w:numPr>
          <w:ilvl w:val="0"/>
          <w:numId w:val="2"/>
        </w:numPr>
        <w:spacing w:before="40" w:after="40" w:line="276"/>
      </w:pPr>
      <w:r>
        <w:rPr>
          <w:rFonts w:ascii="Arial" w:cs="Arial" w:eastAsia="Arial" w:hAnsi="Arial"/>
          <w:color w:val="4A4A4A"/>
          <w:sz w:val="20"/>
          <w:szCs w:val="20"/>
        </w:rPr>
        <w:t xml:space="preserve">28 Feb 2026 — US-Israel Operation Final Account: regime-change objective; Khamenei reportedly killed (UNCONFIRMED)</w:t>
      </w:r>
    </w:p>
    <w:p>
      <w:pPr>
        <w:spacing w:before="80" w:after="80"/>
      </w:pPr>
    </w:p>
    <w:p>
      <w:pPr>
        <w:pStyle w:val="Heading2"/>
        <w:spacing w:before="240" w:after="120"/>
      </w:pPr>
      <w:r>
        <w:rPr>
          <w:rFonts w:ascii="Arial" w:cs="Arial" w:eastAsia="Arial" w:hAnsi="Arial"/>
          <w:b/>
          <w:bCs/>
          <w:color w:val="1B3A5C"/>
          <w:sz w:val="24"/>
          <w:szCs w:val="24"/>
        </w:rPr>
        <w:t xml:space="preserve">Current Strategic Snapshot (04 Mar 2026)</w:t>
      </w:r>
    </w:p>
    <w:p>
      <w:pPr>
        <w:spacing w:before="60" w:after="100" w:line="276"/>
        <w:jc w:val="both"/>
      </w:pPr>
      <w:r>
        <w:rPr>
          <w:rFonts w:ascii="Arial" w:cs="Arial" w:eastAsia="Arial" w:hAnsi="Arial"/>
          <w:b w:val="false"/>
          <w:bCs w:val="false"/>
          <w:i w:val="false"/>
          <w:iCs w:val="false"/>
          <w:color w:val="4A4A4A"/>
          <w:sz w:val="20"/>
          <w:szCs w:val="20"/>
        </w:rPr>
        <w:t xml:space="preserve">As of 04 March 2026, the Iran-Israel-US conflict has entered its most acute phase since escalation began in October 2023. The United States and Israel launched Operation Final Account on 28 February 2026, targeting Iranian nuclear infrastructure, IRGC command-and-control, and reportedly the Supreme Leadership compound. Iran has retaliated with Hormuz mining, Hezbollah activation in Lebanon, and ballistic missile strikes against Israeli population centres. The UN Security Council remains deadlocked — Russia and China have vetoed all ceasefire resolutions, while the US and Israel block Iranian-sponsored alternatives. Oil markets have re-priced to a $15/bbl geopolitical risk premium, shipping lines have suspended Hormuz transits, and the global recession probability has risen to 25%.</w:t>
      </w:r>
    </w:p>
    <w:p>
      <w:pPr>
        <w:spacing w:before="80" w:after="80"/>
      </w:pPr>
    </w:p>
    <w:p>
      <w:pPr>
        <w:pStyle w:val="Heading2"/>
        <w:spacing w:before="240" w:after="120"/>
      </w:pPr>
      <w:r>
        <w:rPr>
          <w:rFonts w:ascii="Arial" w:cs="Arial" w:eastAsia="Arial" w:hAnsi="Arial"/>
          <w:b/>
          <w:bCs/>
          <w:color w:val="1B3A5C"/>
          <w:sz w:val="24"/>
          <w:szCs w:val="24"/>
        </w:rPr>
        <w:t xml:space="preserve">Three Key Takeaways for Decision-Makers</w:t>
      </w:r>
    </w:p>
    <w:p>
      <w:pPr>
        <w:shd w:fill="C0392B" w:val="clear"/>
        <w:spacing w:before="80" w:after="80"/>
        <w:ind w:left="200" w:right="200"/>
      </w:pPr>
      <w:r>
        <w:rPr>
          <w:rFonts w:ascii="Arial" w:cs="Arial" w:eastAsia="Arial" w:hAnsi="Arial"/>
          <w:b/>
          <w:bCs/>
          <w:color w:val="FFFFFF"/>
          <w:sz w:val="20"/>
          <w:szCs w:val="20"/>
        </w:rPr>
        <w:t xml:space="preserve">TAKEAWAY 1: </w:t>
      </w:r>
      <w:r>
        <w:rPr>
          <w:rFonts w:ascii="Arial" w:cs="Arial" w:eastAsia="Arial" w:hAnsi="Arial"/>
          <w:color w:val="FFFFFF"/>
          <w:sz w:val="20"/>
          <w:szCs w:val="20"/>
        </w:rPr>
        <w:t xml:space="preserve">The conflict has structurally shifted from deterrence to regime change — a threshold that makes ceasefire significantly harder and Iranian proxy retaliation broader.</w:t>
      </w:r>
    </w:p>
    <w:p>
      <w:pPr>
        <w:spacing w:before="40" w:after="40"/>
      </w:pPr>
    </w:p>
    <w:p>
      <w:pPr>
        <w:shd w:fill="1B3A5C" w:val="clear"/>
        <w:spacing w:before="80" w:after="80"/>
        <w:ind w:left="200" w:right="200"/>
      </w:pPr>
      <w:r>
        <w:rPr>
          <w:rFonts w:ascii="Arial" w:cs="Arial" w:eastAsia="Arial" w:hAnsi="Arial"/>
          <w:b/>
          <w:bCs/>
          <w:color w:val="FFFFFF"/>
          <w:sz w:val="20"/>
          <w:szCs w:val="20"/>
        </w:rPr>
        <w:t xml:space="preserve">TAKEAWAY 2: </w:t>
      </w:r>
      <w:r>
        <w:rPr>
          <w:rFonts w:ascii="Arial" w:cs="Arial" w:eastAsia="Arial" w:hAnsi="Arial"/>
          <w:color w:val="FFFFFF"/>
          <w:sz w:val="20"/>
          <w:szCs w:val="20"/>
        </w:rPr>
        <w:t xml:space="preserve">Hormuz partial closure is already causing measurable global supply chain stress; a full closure lasting 6+ months would trigger near-certain global recession.</w:t>
      </w:r>
    </w:p>
    <w:p>
      <w:pPr>
        <w:spacing w:before="40" w:after="40"/>
      </w:pPr>
    </w:p>
    <w:p>
      <w:pPr>
        <w:shd w:fill="2E6DA4" w:val="clear"/>
        <w:spacing w:before="80" w:after="80"/>
        <w:ind w:left="200" w:right="200"/>
      </w:pPr>
      <w:r>
        <w:rPr>
          <w:rFonts w:ascii="Arial" w:cs="Arial" w:eastAsia="Arial" w:hAnsi="Arial"/>
          <w:b/>
          <w:bCs/>
          <w:color w:val="FFFFFF"/>
          <w:sz w:val="20"/>
          <w:szCs w:val="20"/>
        </w:rPr>
        <w:t xml:space="preserve">TAKEAWAY 3: </w:t>
      </w:r>
      <w:r>
        <w:rPr>
          <w:rFonts w:ascii="Arial" w:cs="Arial" w:eastAsia="Arial" w:hAnsi="Arial"/>
          <w:color w:val="FFFFFF"/>
          <w:sz w:val="20"/>
          <w:szCs w:val="20"/>
        </w:rPr>
        <w:t xml:space="preserve">Diplomatic space is currently at ZERO (Peace Index). No third-party mediator is accepted by all parties. The window for de-escalation is extremely narrow.</w:t>
      </w:r>
    </w:p>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SECTION 1: CONFLICT TIMELINE &amp; ESCALATION DYNAMICS</w:t>
      </w:r>
    </w:p>
    <w:p>
      <w:pPr>
        <w:pStyle w:val="Heading2"/>
        <w:spacing w:before="240" w:after="120"/>
      </w:pPr>
      <w:r>
        <w:rPr>
          <w:rFonts w:ascii="Arial" w:cs="Arial" w:eastAsia="Arial" w:hAnsi="Arial"/>
          <w:b/>
          <w:bCs/>
          <w:color w:val="1B3A5C"/>
          <w:sz w:val="24"/>
          <w:szCs w:val="24"/>
        </w:rPr>
        <w:t xml:space="preserve">Phase 0 — Proxy War &amp; Regional Escalation (Oct 2023 – Mar 2024)</w:t>
      </w:r>
    </w:p>
    <w:p>
      <w:pPr>
        <w:spacing w:before="60" w:after="100" w:line="276"/>
        <w:jc w:val="both"/>
      </w:pPr>
      <w:r>
        <w:rPr>
          <w:rFonts w:ascii="Arial" w:cs="Arial" w:eastAsia="Arial" w:hAnsi="Arial"/>
          <w:b w:val="false"/>
          <w:bCs w:val="false"/>
          <w:i w:val="false"/>
          <w:iCs w:val="false"/>
          <w:color w:val="4A4A4A"/>
          <w:sz w:val="20"/>
          <w:szCs w:val="20"/>
        </w:rPr>
        <w:t xml:space="preserve">The conflict's origins predate any direct Iran-Israel military exchange. On 07 October 2023, Hamas — designated a terrorist organisation by the US, EU, and UK — launched a coordinated mass-casualty attack on southern Israel, killing approximately 1,200 Israeli civilians and taking 251 hostages. The attack was immediately condemned by the UN Security Council, though subsequent ceasefire resolutions were vetoed by the United States. Israel declared a state of war and launched an intensive air and ground campaign in Gaza, citing Article 51 of the UN Charter (right of self-defence).</w:t>
      </w:r>
    </w:p>
    <w:p>
      <w:pPr>
        <w:spacing w:before="60" w:after="100" w:line="276"/>
        <w:jc w:val="both"/>
      </w:pPr>
      <w:r>
        <w:rPr>
          <w:rFonts w:ascii="Arial" w:cs="Arial" w:eastAsia="Arial" w:hAnsi="Arial"/>
          <w:b w:val="false"/>
          <w:bCs w:val="false"/>
          <w:i w:val="false"/>
          <w:iCs w:val="false"/>
          <w:color w:val="4A4A4A"/>
          <w:sz w:val="20"/>
          <w:szCs w:val="20"/>
        </w:rPr>
        <w:t xml:space="preserve">Iran's role in this phase was characterised by strategic ambiguity: providing political, financial, and material support to Hamas and Islamic Jihad without direct military engagement. Simultaneously, Iran's proxy network escalated on multiple fronts: Hezbollah conducted cross-border operations from Lebanon, Houthi forces attacked Red Sea shipping, and Iraqi Shia militias (PMF, Kataib Hezbollah) struck US bases in Iraq and Syria. By January 2024, the US had conducted retaliatory strikes against militia targets in Iraq and Syria, formally entering the proxy conflict.</w:t>
      </w:r>
    </w:p>
    <w:p>
      <w:pPr>
        <w:pStyle w:val="ListParagraph"/>
        <w:numPr>
          <w:ilvl w:val="0"/>
          <w:numId w:val="2"/>
        </w:numPr>
        <w:spacing w:before="40" w:after="40" w:line="276"/>
      </w:pPr>
      <w:r>
        <w:rPr>
          <w:rFonts w:ascii="Arial" w:cs="Arial" w:eastAsia="Arial" w:hAnsi="Arial"/>
          <w:color w:val="4A4A4A"/>
          <w:sz w:val="20"/>
          <w:szCs w:val="20"/>
        </w:rPr>
        <w:t xml:space="preserve">Key development: Iran's 'Axis of Resistance' proved capable of simultaneous multi-front pressure without direct attribution to Tehran, maintaining plausible deniability.</w:t>
      </w:r>
    </w:p>
    <w:p>
      <w:pPr>
        <w:pStyle w:val="ListParagraph"/>
        <w:numPr>
          <w:ilvl w:val="0"/>
          <w:numId w:val="2"/>
        </w:numPr>
        <w:spacing w:before="40" w:after="40" w:line="276"/>
      </w:pPr>
      <w:r>
        <w:rPr>
          <w:rFonts w:ascii="Arial" w:cs="Arial" w:eastAsia="Arial" w:hAnsi="Arial"/>
          <w:color w:val="4A4A4A"/>
          <w:sz w:val="20"/>
          <w:szCs w:val="20"/>
        </w:rPr>
        <w:t xml:space="preserve">Peace Index: 2/10 — Some ceasefire diplomacy (Qatar-mediated Gaza pause, November 2023) but no structural agreement achieved.</w:t>
      </w:r>
    </w:p>
    <w:p>
      <w:pPr>
        <w:pStyle w:val="Heading2"/>
        <w:spacing w:before="240" w:after="120"/>
      </w:pPr>
      <w:r>
        <w:rPr>
          <w:rFonts w:ascii="Arial" w:cs="Arial" w:eastAsia="Arial" w:hAnsi="Arial"/>
          <w:b/>
          <w:bCs/>
          <w:color w:val="1B3A5C"/>
          <w:sz w:val="24"/>
          <w:szCs w:val="24"/>
        </w:rPr>
        <w:t xml:space="preserve">Phase 1 — Direct Exchanges: The Rubicon Crossed (Apr – Dec 2024)</w:t>
      </w:r>
    </w:p>
    <w:p>
      <w:pPr>
        <w:spacing w:before="60" w:after="100" w:line="276"/>
        <w:jc w:val="both"/>
      </w:pPr>
      <w:r>
        <w:rPr>
          <w:rFonts w:ascii="Arial" w:cs="Arial" w:eastAsia="Arial" w:hAnsi="Arial"/>
          <w:b w:val="false"/>
          <w:bCs w:val="false"/>
          <w:i w:val="false"/>
          <w:iCs w:val="false"/>
          <w:color w:val="4A4A4A"/>
          <w:sz w:val="20"/>
          <w:szCs w:val="20"/>
        </w:rPr>
        <w:t xml:space="preserve">The critical threshold into direct Iran-Israel military conflict was crossed on 01 April 2024, when Israel struck the Iranian consulate in Damascus, killing two IRGC generals. This strike violated the 1961 Vienna Convention, which grants diplomatic premises inviolability — a legal dimension that provided Iran with international sympathy it lacked following Phase 0 proxy operations.</w:t>
      </w:r>
    </w:p>
    <w:p>
      <w:pPr>
        <w:spacing w:before="60" w:after="100" w:line="276"/>
        <w:jc w:val="both"/>
      </w:pPr>
      <w:r>
        <w:rPr>
          <w:rFonts w:ascii="Arial" w:cs="Arial" w:eastAsia="Arial" w:hAnsi="Arial"/>
          <w:b w:val="false"/>
          <w:bCs w:val="false"/>
          <w:i w:val="false"/>
          <w:iCs w:val="false"/>
          <w:color w:val="4A4A4A"/>
          <w:sz w:val="20"/>
          <w:szCs w:val="20"/>
        </w:rPr>
        <w:t xml:space="preserve">On 13 April 2024, Iran launched its first-ever direct military strike on Israeli territory: 300+ drones, ballistic missiles, and cruise missiles. The vast majority (estimated 99%) were intercepted by Israeli, US, Jordanian, and British air defence systems. Israel's limited retaliatory strike on 19 April 2024 — targeting an S-300 radar array near Isfahan — was deliberately calibrated to avoid triggering further escalation. A fragile de-escalation period followed, during which backchannel talks were reportedly conducted via Omani and Swiss intermediaries.</w:t>
      </w:r>
    </w:p>
    <w:p>
      <w:pPr>
        <w:pStyle w:val="ListParagraph"/>
        <w:numPr>
          <w:ilvl w:val="0"/>
          <w:numId w:val="2"/>
        </w:numPr>
        <w:spacing w:before="40" w:after="40" w:line="276"/>
      </w:pPr>
      <w:r>
        <w:rPr>
          <w:rFonts w:ascii="Arial" w:cs="Arial" w:eastAsia="Arial" w:hAnsi="Arial"/>
          <w:color w:val="4A4A4A"/>
          <w:sz w:val="20"/>
          <w:szCs w:val="20"/>
        </w:rPr>
        <w:t xml:space="preserve">Military significance: Iran demonstrated willingness to use direct force but revealed limitations in penetrating advanced integrated air defence systems.</w:t>
      </w:r>
    </w:p>
    <w:p>
      <w:pPr>
        <w:pStyle w:val="ListParagraph"/>
        <w:numPr>
          <w:ilvl w:val="0"/>
          <w:numId w:val="2"/>
        </w:numPr>
        <w:spacing w:before="40" w:after="40" w:line="276"/>
      </w:pPr>
      <w:r>
        <w:rPr>
          <w:rFonts w:ascii="Arial" w:cs="Arial" w:eastAsia="Arial" w:hAnsi="Arial"/>
          <w:color w:val="4A4A4A"/>
          <w:sz w:val="20"/>
          <w:szCs w:val="20"/>
        </w:rPr>
        <w:t xml:space="preserve">Peace Index: 3/10 — Brief diplomatic opening, but structural grievances (Gaza campaign, nuclear programme, sanctions) remained unresolved.</w:t>
      </w:r>
    </w:p>
    <w:p>
      <w:pPr>
        <w:pStyle w:val="Heading2"/>
        <w:spacing w:before="240" w:after="120"/>
      </w:pPr>
      <w:r>
        <w:rPr>
          <w:rFonts w:ascii="Arial" w:cs="Arial" w:eastAsia="Arial" w:hAnsi="Arial"/>
          <w:b/>
          <w:bCs/>
          <w:color w:val="1B3A5C"/>
          <w:sz w:val="24"/>
          <w:szCs w:val="24"/>
        </w:rPr>
        <w:t xml:space="preserve">Phase 2 — The 12-Day War: Operation Rising Lion (Jun 2025)</w:t>
      </w:r>
    </w:p>
    <w:p>
      <w:pPr>
        <w:spacing w:before="60" w:after="100" w:line="276"/>
        <w:jc w:val="both"/>
      </w:pPr>
      <w:r>
        <w:rPr>
          <w:rFonts w:ascii="Arial" w:cs="Arial" w:eastAsia="Arial" w:hAnsi="Arial"/>
          <w:b w:val="false"/>
          <w:bCs w:val="false"/>
          <w:i w:val="false"/>
          <w:iCs w:val="false"/>
          <w:color w:val="4A4A4A"/>
          <w:sz w:val="20"/>
          <w:szCs w:val="20"/>
        </w:rPr>
        <w:t xml:space="preserve">The most decisive military event prior to February 2026 was Israel's pre-emptive strike campaign beginning 13 June 2025, designated Operation Rising Lion. Israel struck Iranian nuclear facilities (Natanz, Fordow, Isfahan), IRGC command structures, and air defence networks in what Israeli officials characterised as an existential threat prevention. The legal basis — pre-emptive self-defence under Article 51 — remains disputed, as the UN Charter requires an imminent attack, not a potential future capability.</w:t>
      </w:r>
    </w:p>
    <w:p>
      <w:pPr>
        <w:spacing w:before="60" w:after="100" w:line="276"/>
        <w:jc w:val="both"/>
      </w:pPr>
      <w:r>
        <w:rPr>
          <w:rFonts w:ascii="Arial" w:cs="Arial" w:eastAsia="Arial" w:hAnsi="Arial"/>
          <w:b w:val="false"/>
          <w:bCs w:val="false"/>
          <w:i w:val="false"/>
          <w:iCs w:val="false"/>
          <w:color w:val="4A4A4A"/>
          <w:sz w:val="20"/>
          <w:szCs w:val="20"/>
        </w:rPr>
        <w:t xml:space="preserve">Iranian air defences were severely degraded: approximately 250 of 350 known missile launchers were destroyed, and IRGC air defence coverage fell to estimated 30% of pre-war capacity. Iranian retaliation included ballistic missile and drone strikes that caused limited Israeli casualties due to THAAD, Arrow-3, and Iron Dome intercepts. The campaign concluded on 24 June 2025 with the Trump-Doha Agreement — a ceasefire brokered by the United States and Qatar. The agreement halted kinetic operations but critically left Iran's nuclear programme status unresolved.</w:t>
      </w:r>
    </w:p>
    <w:p>
      <w:pPr>
        <w:pStyle w:val="ListParagraph"/>
        <w:numPr>
          <w:ilvl w:val="0"/>
          <w:numId w:val="2"/>
        </w:numPr>
        <w:spacing w:before="40" w:after="40" w:line="276"/>
      </w:pPr>
      <w:r>
        <w:rPr>
          <w:rFonts w:ascii="Arial" w:cs="Arial" w:eastAsia="Arial" w:hAnsi="Arial"/>
          <w:color w:val="4A4A4A"/>
          <w:sz w:val="20"/>
          <w:szCs w:val="20"/>
        </w:rPr>
        <w:t xml:space="preserve">Military outcome: Israel achieved significant attrition of Iranian missile capabilities and air defences.</w:t>
      </w:r>
    </w:p>
    <w:p>
      <w:pPr>
        <w:pStyle w:val="ListParagraph"/>
        <w:numPr>
          <w:ilvl w:val="0"/>
          <w:numId w:val="2"/>
        </w:numPr>
        <w:spacing w:before="40" w:after="40" w:line="276"/>
      </w:pPr>
      <w:r>
        <w:rPr>
          <w:rFonts w:ascii="Arial" w:cs="Arial" w:eastAsia="Arial" w:hAnsi="Arial"/>
          <w:color w:val="4A4A4A"/>
          <w:sz w:val="20"/>
          <w:szCs w:val="20"/>
        </w:rPr>
        <w:t xml:space="preserve">Strategic gap: No verification mechanism for nuclear rollback; Iran retained centrifuge infrastructure at undisclosed sites.</w:t>
      </w:r>
    </w:p>
    <w:p>
      <w:pPr>
        <w:pStyle w:val="ListParagraph"/>
        <w:numPr>
          <w:ilvl w:val="0"/>
          <w:numId w:val="2"/>
        </w:numPr>
        <w:spacing w:before="40" w:after="40" w:line="276"/>
      </w:pPr>
      <w:r>
        <w:rPr>
          <w:rFonts w:ascii="Arial" w:cs="Arial" w:eastAsia="Arial" w:hAnsi="Arial"/>
          <w:color w:val="4A4A4A"/>
          <w:sz w:val="20"/>
          <w:szCs w:val="20"/>
        </w:rPr>
        <w:t xml:space="preserve">Peace Index: 5/10 (ceasefire achieved) — Highest point since Oct 2023, but structurally fragile.</w:t>
      </w:r>
    </w:p>
    <w:p>
      <w:pPr>
        <w:pStyle w:val="Heading2"/>
        <w:spacing w:before="240" w:after="120"/>
      </w:pPr>
      <w:r>
        <w:rPr>
          <w:rFonts w:ascii="Arial" w:cs="Arial" w:eastAsia="Arial" w:hAnsi="Arial"/>
          <w:b/>
          <w:bCs/>
          <w:color w:val="1B3A5C"/>
          <w:sz w:val="24"/>
          <w:szCs w:val="24"/>
        </w:rPr>
        <w:t xml:space="preserve">Phase 3 — Operation Final Account (28 Feb – Present, 04 Mar 2026)</w:t>
      </w:r>
    </w:p>
    <w:p>
      <w:pPr>
        <w:spacing w:before="60" w:after="100" w:line="276"/>
        <w:jc w:val="both"/>
      </w:pPr>
      <w:r>
        <w:rPr>
          <w:rFonts w:ascii="Arial" w:cs="Arial" w:eastAsia="Arial" w:hAnsi="Arial"/>
          <w:b w:val="false"/>
          <w:bCs w:val="false"/>
          <w:i w:val="false"/>
          <w:iCs w:val="false"/>
          <w:color w:val="4A4A4A"/>
          <w:sz w:val="20"/>
          <w:szCs w:val="20"/>
        </w:rPr>
        <w:t xml:space="preserve">When IAEA reports confirmed continued Iranian uranium enrichment at Isfahan and reported centrifuge activity at potential undisclosed locations, the diplomatic rationale for restraint collapsed. On 28 February 2026, the United States and Israel jointly launched Operation Final Account — a broader campaign than Phase 2 that included explicit regime-change objectives. Strikes targeted not only nuclear infrastructure but IRGC command facilities and reportedly the Supreme Leadership compound. Supreme Leader Khamenei is reported killed in initial strikes, though this has NOT been independently confirmed as of 04 March 2026 (see S9 — Claims vs Verified).</w:t>
      </w:r>
    </w:p>
    <w:p>
      <w:pPr>
        <w:spacing w:before="60" w:after="100" w:line="276"/>
        <w:jc w:val="both"/>
      </w:pPr>
      <w:r>
        <w:rPr>
          <w:rFonts w:ascii="Arial" w:cs="Arial" w:eastAsia="Arial" w:hAnsi="Arial"/>
          <w:b w:val="false"/>
          <w:bCs w:val="false"/>
          <w:i w:val="false"/>
          <w:iCs w:val="false"/>
          <w:color w:val="4A4A4A"/>
          <w:sz w:val="20"/>
          <w:szCs w:val="20"/>
        </w:rPr>
        <w:t xml:space="preserve">Iran's retaliation has been multi-dimensional: mining of Hormuz Strait (partial traffic disruption), activation of Hezbollah's full rocket and missile arsenal in Lebanon, ballistic missile strikes killing approximately 41 Israelis, and large-scale cyber attacks against Israeli and Gulf state financial infrastructure. The IRGC's conventional military capability, while degraded from Phase 2, has demonstrated residual strike capacity. On 03 March 2026, the US conducted naval strikes against 12 IRGC vessels in Hormuz, partially restoring transit.</w:t>
      </w:r>
    </w:p>
    <w:p>
      <w:pPr>
        <w:pStyle w:val="ListParagraph"/>
        <w:numPr>
          <w:ilvl w:val="0"/>
          <w:numId w:val="2"/>
        </w:numPr>
        <w:spacing w:before="40" w:after="40" w:line="276"/>
      </w:pPr>
      <w:r>
        <w:rPr>
          <w:rFonts w:ascii="Arial" w:cs="Arial" w:eastAsia="Arial" w:hAnsi="Arial"/>
          <w:color w:val="4A4A4A"/>
          <w:sz w:val="20"/>
          <w:szCs w:val="20"/>
        </w:rPr>
        <w:t xml:space="preserve">CRITICAL UNCERTAINTY: Khamenei's status, Iran's nuclear programme operational continuity, and IRGC command succession remain unverified.</w:t>
      </w:r>
    </w:p>
    <w:p>
      <w:pPr>
        <w:pStyle w:val="ListParagraph"/>
        <w:numPr>
          <w:ilvl w:val="0"/>
          <w:numId w:val="2"/>
        </w:numPr>
        <w:spacing w:before="40" w:after="40" w:line="276"/>
      </w:pPr>
      <w:r>
        <w:rPr>
          <w:rFonts w:ascii="Arial" w:cs="Arial" w:eastAsia="Arial" w:hAnsi="Arial"/>
          <w:color w:val="4A4A4A"/>
          <w:sz w:val="20"/>
          <w:szCs w:val="20"/>
        </w:rPr>
        <w:t xml:space="preserve">Peace Index: 0/10 — No diplomatic engagement; UNSC deadlocked; no mediator accepted by all parties.</w:t>
      </w:r>
    </w:p>
    <w:p>
      <w:pPr>
        <w:pStyle w:val="Heading2"/>
        <w:spacing w:before="240" w:after="120"/>
      </w:pPr>
      <w:r>
        <w:rPr>
          <w:rFonts w:ascii="Arial" w:cs="Arial" w:eastAsia="Arial" w:hAnsi="Arial"/>
          <w:b/>
          <w:bCs/>
          <w:color w:val="1B3A5C"/>
          <w:sz w:val="24"/>
          <w:szCs w:val="24"/>
        </w:rPr>
        <w:t xml:space="preserve">5 Critical Decision Points Where De-escalation Was Possible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2500"/>
        <w:gridCol w:w="3000"/>
        <w:gridCol w:w="146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POINT</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ALTERNATIVE PATH</w:t>
            </w:r>
          </w:p>
        </w:tc>
        <w:tc>
          <w:tcPr>
            <w:tcW w:type="dxa" w:w="1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LIVES SAVED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Oct 2023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Israel: Full-scale Gaza invasion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Hostage-focused special operations + limited strikes</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25,000-35,000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Apr 2024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Israel: Consulate strike (Damascus)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Avoid striking diplomatic premises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~50 + broader de-escalation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Jun 2025</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Israel: Operation Rising Lion (pre-emptive war)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Covert Stuxnet-style cyber + targeted assassination</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~2,500+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Jun 2025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Doha Agreement: No nuclear verification mechanism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Robust IAEA access + sanctions relief package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~3,000+ in 2026</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5</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Feb 2026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Operation Final Account: Regime-change objective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Strike nuclear sites only; spare political leadership</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~1,500+ + $500bn economic shock</w:t>
            </w:r>
          </w:p>
        </w:tc>
      </w:tr>
    </w:tbl>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SECTION 2: CASUALTY ANALYSIS &amp; HUMAN COST</w:t>
      </w:r>
    </w:p>
    <w:p>
      <w:pPr>
        <w:pStyle w:val="Heading2"/>
        <w:spacing w:before="240" w:after="120"/>
      </w:pPr>
      <w:r>
        <w:rPr>
          <w:rFonts w:ascii="Arial" w:cs="Arial" w:eastAsia="Arial" w:hAnsi="Arial"/>
          <w:b/>
          <w:bCs/>
          <w:color w:val="1B3A5C"/>
          <w:sz w:val="24"/>
          <w:szCs w:val="24"/>
        </w:rPr>
        <w:t xml:space="preserve">Breakdown by Country and Phase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COUNTRY / ACTOR</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0
(Oct 23–Mar 24)</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1
(Apr–Dec 24)</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2
(Jun 2025)</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3
(Feb–Mar 26)</w:t>
            </w:r>
          </w:p>
        </w:tc>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(APPROX.)</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Israel (military + civilian)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~1,200 (Oct 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~41</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~1,281+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Palestinians (Gaza + WB)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~40,000+ (Jul 2024)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Ongoing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Ongoing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Ongoing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~45,000+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Iran (military + IRGC)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~42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~800+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~1,120+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~1,977+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Lebanon (Hezbollah + civilians)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~280+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~680+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Yemen (Houthis + Yemeni civilians)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~30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~85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~45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~75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~235+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USA (military personnel)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~29</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Gulf States (UAE, Bahrain, Kuwait)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~34+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~51+</w:t>
            </w:r>
          </w:p>
        </w:tc>
      </w:tr>
    </w:tbl>
    <w:p>
      <w:pPr>
        <w:shd w:fill="F0F4F8" w:val="clear"/>
        <w:spacing w:before="60" w:after="60"/>
        <w:ind w:left="200"/>
      </w:pPr>
      <w:r>
        <w:rPr>
          <w:rFonts w:ascii="Arial" w:cs="Arial" w:eastAsia="Arial" w:hAnsi="Arial"/>
          <w:i/>
          <w:iCs/>
          <w:color w:val="666666"/>
          <w:sz w:val="18"/>
          <w:szCs w:val="18"/>
        </w:rPr>
        <w:t xml:space="preserve">📊 SUGGESTED VISUALIZATION: Stacked bar chart by phase — Israeli vs Iranian vs Palestinian casualties. Source: S2 – CASUALTIES sheet.</w:t>
      </w:r>
    </w:p>
    <w:p>
      <w:pPr>
        <w:spacing w:before="80" w:after="80"/>
      </w:pPr>
    </w:p>
    <w:p>
      <w:pPr>
        <w:pStyle w:val="Heading2"/>
        <w:spacing w:before="240" w:after="120"/>
      </w:pPr>
      <w:r>
        <w:rPr>
          <w:rFonts w:ascii="Arial" w:cs="Arial" w:eastAsia="Arial" w:hAnsi="Arial"/>
          <w:b/>
          <w:bCs/>
          <w:color w:val="1B3A5C"/>
          <w:sz w:val="24"/>
          <w:szCs w:val="24"/>
        </w:rPr>
        <w:t xml:space="preserve">Discrepancies in Reporting</w:t>
      </w:r>
    </w:p>
    <w:p>
      <w:pPr>
        <w:spacing w:before="60" w:after="100" w:line="276"/>
        <w:jc w:val="both"/>
      </w:pPr>
      <w:r>
        <w:rPr>
          <w:rFonts w:ascii="Arial" w:cs="Arial" w:eastAsia="Arial" w:hAnsi="Arial"/>
          <w:b w:val="false"/>
          <w:bCs w:val="false"/>
          <w:i w:val="false"/>
          <w:iCs w:val="false"/>
          <w:color w:val="4A4A4A"/>
          <w:sz w:val="20"/>
          <w:szCs w:val="20"/>
        </w:rPr>
        <w:t xml:space="preserve">A persistent methodological challenge is the significant discrepancy between Iranian government official figures and independent human rights sources. The Human Rights Activists News Agency (HRANA), an Iran-based monitoring organisation, consistently reports higher casualty figures than official Iranian state media, which faces documented censorship pressures. For Phase 2 Iranian military casualties, official figures cited approximately 220 killed; HRANA estimates range 700-900. This report applies a 'medium confidence' rating to all Iranian casualty figures and uses HRANA cross-referenced with OCHA as the primary data source.</w:t>
      </w:r>
    </w:p>
    <w:p>
      <w:pPr>
        <w:spacing w:before="60" w:after="100" w:line="276"/>
        <w:jc w:val="both"/>
      </w:pPr>
      <w:r>
        <w:rPr>
          <w:rFonts w:ascii="Arial" w:cs="Arial" w:eastAsia="Arial" w:hAnsi="Arial"/>
          <w:b w:val="false"/>
          <w:bCs w:val="false"/>
          <w:i w:val="false"/>
          <w:iCs w:val="false"/>
          <w:color w:val="4A4A4A"/>
          <w:sz w:val="20"/>
          <w:szCs w:val="20"/>
        </w:rPr>
        <w:t xml:space="preserve">Palestinian casualty figures derive primarily from the Gaza Health Ministry, which is administered under Hamas governance. Multiple international humanitarian organisations, including OCHA and WHO, have independently corroborated broad magnitude estimates, though precise breakdown between combatant and civilian deaths remains difficult to verify in active conflict zones. The ICJ's ongoing genocide case brought by South Africa against Israel (filed January 2024) incorporates these casualty figures as central evidence.</w:t>
      </w:r>
    </w:p>
    <w:p>
      <w:pPr>
        <w:pStyle w:val="Heading2"/>
        <w:spacing w:before="240" w:after="120"/>
      </w:pPr>
      <w:r>
        <w:rPr>
          <w:rFonts w:ascii="Arial" w:cs="Arial" w:eastAsia="Arial" w:hAnsi="Arial"/>
          <w:b/>
          <w:bCs/>
          <w:color w:val="1B3A5C"/>
          <w:sz w:val="24"/>
          <w:szCs w:val="24"/>
        </w:rPr>
        <w:t xml:space="preserve">Humanitarian Crisis: Beyond the Casualty Count</w:t>
      </w:r>
    </w:p>
    <w:p>
      <w:pPr>
        <w:pStyle w:val="ListParagraph"/>
        <w:numPr>
          <w:ilvl w:val="0"/>
          <w:numId w:val="2"/>
        </w:numPr>
        <w:spacing w:before="40" w:after="40" w:line="276"/>
      </w:pPr>
      <w:r>
        <w:rPr>
          <w:rFonts w:ascii="Arial" w:cs="Arial" w:eastAsia="Arial" w:hAnsi="Arial"/>
          <w:color w:val="4A4A4A"/>
          <w:sz w:val="20"/>
          <w:szCs w:val="20"/>
        </w:rPr>
        <w:t xml:space="preserve">Displacement: 200,000+ Internally Displaced Persons (IDPs) within Iran; 50,000+ in Lebanon (Phase 3 escalation); 500,000+ migrant workers stranded in Gulf states with suspended flights.</w:t>
      </w:r>
    </w:p>
    <w:p>
      <w:pPr>
        <w:pStyle w:val="ListParagraph"/>
        <w:numPr>
          <w:ilvl w:val="0"/>
          <w:numId w:val="2"/>
        </w:numPr>
        <w:spacing w:before="40" w:after="40" w:line="276"/>
      </w:pPr>
      <w:r>
        <w:rPr>
          <w:rFonts w:ascii="Arial" w:cs="Arial" w:eastAsia="Arial" w:hAnsi="Arial"/>
          <w:color w:val="4A4A4A"/>
          <w:sz w:val="20"/>
          <w:szCs w:val="20"/>
        </w:rPr>
        <w:t xml:space="preserve">Food insecurity in Iran: Bread prices up +140% (50,000 to 120,000 IRR/kg), chicken up +125%, USD/IRR black market rate crashed -42% (550,000 to 950,000 IRR per USD) since January 2026. Source: HRANA, Bonbast.com.</w:t>
      </w:r>
    </w:p>
    <w:p>
      <w:pPr>
        <w:pStyle w:val="ListParagraph"/>
        <w:numPr>
          <w:ilvl w:val="0"/>
          <w:numId w:val="2"/>
        </w:numPr>
        <w:spacing w:before="40" w:after="40" w:line="276"/>
      </w:pPr>
      <w:r>
        <w:rPr>
          <w:rFonts w:ascii="Arial" w:cs="Arial" w:eastAsia="Arial" w:hAnsi="Arial"/>
          <w:color w:val="4A4A4A"/>
          <w:sz w:val="20"/>
          <w:szCs w:val="20"/>
        </w:rPr>
        <w:t xml:space="preserve">Remittances severed: ~$65bn+ in annual remittances at risk — Indian workers in Gulf ($40bn+), Pakistani workers ($20bn), Filipino OFWs ($5bn), Iranian diaspora ($2-3bn, Western Union/PayPal suspended). Source: World Bank.</w:t>
      </w:r>
    </w:p>
    <w:p>
      <w:pPr>
        <w:pStyle w:val="ListParagraph"/>
        <w:numPr>
          <w:ilvl w:val="0"/>
          <w:numId w:val="2"/>
        </w:numPr>
        <w:spacing w:before="40" w:after="40" w:line="276"/>
      </w:pPr>
      <w:r>
        <w:rPr>
          <w:rFonts w:ascii="Arial" w:cs="Arial" w:eastAsia="Arial" w:hAnsi="Arial"/>
          <w:color w:val="4A4A4A"/>
          <w:sz w:val="20"/>
          <w:szCs w:val="20"/>
        </w:rPr>
        <w:t xml:space="preserve">UN funding gap: $840M+ estimated shortfall across Iran, Lebanon, and stranded worker emergency response. Source: OCHA.</w:t>
      </w:r>
    </w:p>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SECTION 3: WEAPONS &amp; MILITARY LOSSES</w:t>
      </w:r>
    </w:p>
    <w:p>
      <w:pPr>
        <w:pStyle w:val="Heading2"/>
        <w:spacing w:before="240" w:after="120"/>
      </w:pPr>
      <w:r>
        <w:rPr>
          <w:rFonts w:ascii="Arial" w:cs="Arial" w:eastAsia="Arial" w:hAnsi="Arial"/>
          <w:b/>
          <w:bCs/>
          <w:color w:val="1B3A5C"/>
          <w:sz w:val="24"/>
          <w:szCs w:val="24"/>
        </w:rPr>
        <w:t xml:space="preserve">Iran's Missile Arsenal: Capabilities, Limitations &amp; Depletion</w:t>
      </w:r>
    </w:p>
    <w:p>
      <w:pPr>
        <w:spacing w:before="60" w:after="100" w:line="276"/>
        <w:jc w:val="both"/>
      </w:pPr>
      <w:r>
        <w:rPr>
          <w:rFonts w:ascii="Arial" w:cs="Arial" w:eastAsia="Arial" w:hAnsi="Arial"/>
          <w:b w:val="false"/>
          <w:bCs w:val="false"/>
          <w:i w:val="false"/>
          <w:iCs w:val="false"/>
          <w:color w:val="4A4A4A"/>
          <w:sz w:val="20"/>
          <w:szCs w:val="20"/>
        </w:rPr>
        <w:t xml:space="preserve">Iran entered the conflict with one of the region's most significant ballistic and cruise missile arsenals — estimated at 3,000+ missiles across multiple categories, including Shahab-3, Ghadr-1, Emad, Kheibar Shekan, and the hypersonic Fattah-1. The arsenal represents decades of investment in response to Israeli and US conventional air superiority. However, the Phase 2 attrition has been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1600"/>
        <w:gridCol w:w="18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WEAPON SYSTEM</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PRE-CONFLICT STOCK (EST.)</w:t>
            </w:r>
          </w:p>
        </w:tc>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EXPENDED (ALL PHASES)</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LAUNCHERS LOST</w:t>
            </w:r>
          </w:p>
        </w:tc>
        <w:tc>
          <w:tcPr>
            <w:tcW w:type="dxa" w:w="1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OPERATIONAL STATUS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Shahab-3 / Ghadr MRBMs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~300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~120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~60%</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Degraded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Kheibar Shekan (improved MRBMs)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Partially operational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Fateh-110 SRBMs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~150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~35%</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Operational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Fattah-1 (Hypersonic, claimed)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~50 (est.)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Unknown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UNVERIFIED performance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Shahed-136 Drones (Kamikaze)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~2,000+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~600+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Low (mobile)</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Operational (proxy supply)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Cruise Missiles (Ya Ali, etc.)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~30%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Degraded</w:t>
            </w:r>
          </w:p>
        </w:tc>
      </w:tr>
    </w:tbl>
    <w:p>
      <w:pPr>
        <w:spacing w:before="60" w:after="100" w:line="276"/>
        <w:jc w:val="both"/>
      </w:pPr>
      <w:r>
        <w:rPr>
          <w:rFonts w:ascii="Arial" w:cs="Arial" w:eastAsia="Arial" w:hAnsi="Arial"/>
          <w:b w:val="false"/>
          <w:bCs w:val="false"/>
          <w:i w:val="false"/>
          <w:iCs w:val="false"/>
          <w:color w:val="4A4A4A"/>
          <w:sz w:val="20"/>
          <w:szCs w:val="20"/>
        </w:rPr>
        <w:t xml:space="preserve">Despite losing approximately 250 of 350 known missile launchers in Phase 2, Iran fired 550+ missiles during Phase 3 — demonstrating either more extensive dispersal and concealment than intelligence estimates suggested, or continued production/resupply. This resilience represents a significant intelligence assessment failure that has operational implications for campaign planning.</w:t>
      </w:r>
    </w:p>
    <w:p>
      <w:pPr>
        <w:pStyle w:val="Heading2"/>
        <w:spacing w:before="240" w:after="120"/>
      </w:pPr>
      <w:r>
        <w:rPr>
          <w:rFonts w:ascii="Arial" w:cs="Arial" w:eastAsia="Arial" w:hAnsi="Arial"/>
          <w:b/>
          <w:bCs/>
          <w:color w:val="1B3A5C"/>
          <w:sz w:val="24"/>
          <w:szCs w:val="24"/>
        </w:rPr>
        <w:t xml:space="preserve">Israel/US Air Dominance: Capabilities &amp; Effectiveness</w:t>
      </w:r>
    </w:p>
    <w:p>
      <w:pPr>
        <w:pStyle w:val="ListParagraph"/>
        <w:numPr>
          <w:ilvl w:val="0"/>
          <w:numId w:val="2"/>
        </w:numPr>
        <w:spacing w:before="40" w:after="40" w:line="276"/>
      </w:pPr>
      <w:r>
        <w:rPr>
          <w:rFonts w:ascii="Arial" w:cs="Arial" w:eastAsia="Arial" w:hAnsi="Arial"/>
          <w:color w:val="4A4A4A"/>
          <w:sz w:val="20"/>
          <w:szCs w:val="20"/>
        </w:rPr>
        <w:t xml:space="preserve">F-35I Adir: Israel's primary strike platform. Low-observable design penetrated Iranian air defences to strike hardened targets including Fordow. US/Israeli combined F-35 sorties estimated 400+ across Phase 2-3.</w:t>
      </w:r>
    </w:p>
    <w:p>
      <w:pPr>
        <w:pStyle w:val="ListParagraph"/>
        <w:numPr>
          <w:ilvl w:val="0"/>
          <w:numId w:val="2"/>
        </w:numPr>
        <w:spacing w:before="40" w:after="40" w:line="276"/>
      </w:pPr>
      <w:r>
        <w:rPr>
          <w:rFonts w:ascii="Arial" w:cs="Arial" w:eastAsia="Arial" w:hAnsi="Arial"/>
          <w:color w:val="4A4A4A"/>
          <w:sz w:val="20"/>
          <w:szCs w:val="20"/>
        </w:rPr>
        <w:t xml:space="preserve">B-2 Spirit Stealth Bombers: Used by US forces to penetrate deeply buried targets. First confirmed combat use against Iranian hardened nuclear infrastructure. GPS-guided Massive Ordnance Penetrators (MOPs, 30,000 lbs) deployed.</w:t>
      </w:r>
    </w:p>
    <w:p>
      <w:pPr>
        <w:pStyle w:val="ListParagraph"/>
        <w:numPr>
          <w:ilvl w:val="0"/>
          <w:numId w:val="2"/>
        </w:numPr>
        <w:spacing w:before="40" w:after="40" w:line="276"/>
      </w:pPr>
      <w:r>
        <w:rPr>
          <w:rFonts w:ascii="Arial" w:cs="Arial" w:eastAsia="Arial" w:hAnsi="Arial"/>
          <w:color w:val="4A4A4A"/>
          <w:sz w:val="20"/>
          <w:szCs w:val="20"/>
        </w:rPr>
        <w:t xml:space="preserve">THAAD (Terminal High Altitude Area Defense): Critical for intercepting Iranian ballistic missiles at high altitude. 25% depletion of US global THAAD interceptor stockpile across Phases 2-3 — a strategically significant constraint.</w:t>
      </w:r>
    </w:p>
    <w:p>
      <w:pPr>
        <w:pStyle w:val="ListParagraph"/>
        <w:numPr>
          <w:ilvl w:val="0"/>
          <w:numId w:val="2"/>
        </w:numPr>
        <w:spacing w:before="40" w:after="40" w:line="276"/>
      </w:pPr>
      <w:r>
        <w:rPr>
          <w:rFonts w:ascii="Arial" w:cs="Arial" w:eastAsia="Arial" w:hAnsi="Arial"/>
          <w:color w:val="4A4A4A"/>
          <w:sz w:val="20"/>
          <w:szCs w:val="20"/>
        </w:rPr>
        <w:t xml:space="preserve">Arrow-3: Israeli exo-atmospheric interceptor; highly effective against Shahab-3 class missiles. Engagement rates estimated &gt;85%.</w:t>
      </w:r>
    </w:p>
    <w:p>
      <w:pPr>
        <w:pStyle w:val="ListParagraph"/>
        <w:numPr>
          <w:ilvl w:val="0"/>
          <w:numId w:val="2"/>
        </w:numPr>
        <w:spacing w:before="40" w:after="40" w:line="276"/>
      </w:pPr>
      <w:r>
        <w:rPr>
          <w:rFonts w:ascii="Arial" w:cs="Arial" w:eastAsia="Arial" w:hAnsi="Arial"/>
          <w:color w:val="4A4A4A"/>
          <w:sz w:val="20"/>
          <w:szCs w:val="20"/>
        </w:rPr>
        <w:t xml:space="preserve">Iron Dome: Effective against short-range rockets and Shahed-class drones. 90%+ intercept rate maintained.</w:t>
      </w:r>
    </w:p>
    <w:p>
      <w:pPr>
        <w:pStyle w:val="Heading2"/>
        <w:spacing w:before="240" w:after="120"/>
      </w:pPr>
      <w:r>
        <w:rPr>
          <w:rFonts w:ascii="Arial" w:cs="Arial" w:eastAsia="Arial" w:hAnsi="Arial"/>
          <w:b/>
          <w:bCs/>
          <w:color w:val="1B3A5C"/>
          <w:sz w:val="24"/>
          <w:szCs w:val="24"/>
        </w:rPr>
        <w:t xml:space="preserve">Key Military Losses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3660"/>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ASSET</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36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~250 of 350 missile launchers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Phase 2</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Severe degradation of strike capability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S-300 air defence network (~70%)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Phase 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Critical loss; limited Israeli/US penetration resistance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IRGC senior commanders (12+)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Phase 2-3</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Command/control disruption; succession unclear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4 naval vessels (IRGC)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Phase 3</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US struck Hormuz mining-capable assets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Isfahan nuclear complex (partial)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Phase 2-3</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Centrifuge status unknown (IAEA access denied)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25% THAAD interceptor stock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USA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Phase 2-3</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Strategic constraint on extended conflict capacity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Israeli F-16 (1, mechanical)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Israel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Phase 3</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Minimal; demonstrated Iran's limited AA capability</w:t>
            </w:r>
          </w:p>
        </w:tc>
      </w:tr>
    </w:tbl>
    <w:p>
      <w:pPr>
        <w:spacing w:before="60" w:after="100" w:line="276"/>
        <w:jc w:val="both"/>
      </w:pPr>
      <w:r>
        <w:rPr>
          <w:rFonts w:ascii="Arial" w:cs="Arial" w:eastAsia="Arial" w:hAnsi="Arial"/>
          <w:b w:val="false"/>
          <w:bCs w:val="false"/>
          <w:i w:val="false"/>
          <w:iCs w:val="false"/>
          <w:color w:val="4A4A4A"/>
          <w:sz w:val="20"/>
          <w:szCs w:val="20"/>
        </w:rPr>
        <w:t xml:space="preserve">The 25% depletion of US THAAD interceptors carries long-term strategic significance beyond this conflict. THAAD batteries are also deployed on the Korean Peninsula (North Korea deterrence) and in Europe (NATO commitments). Production timelines for THAAD interceptors are measured in years, not months, creating a window of reduced deterrence capability that adversaries may calculate.</w:t>
      </w:r>
    </w:p>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SECTION 4: ECONOMIC &amp; MARKET IMPACT</w:t>
      </w:r>
    </w:p>
    <w:p>
      <w:pPr>
        <w:pStyle w:val="Heading2"/>
        <w:spacing w:before="240" w:after="120"/>
      </w:pPr>
      <w:r>
        <w:rPr>
          <w:rFonts w:ascii="Arial" w:cs="Arial" w:eastAsia="Arial" w:hAnsi="Arial"/>
          <w:b/>
          <w:bCs/>
          <w:color w:val="1B3A5C"/>
          <w:sz w:val="24"/>
          <w:szCs w:val="24"/>
        </w:rPr>
        <w:t xml:space="preserve">Oil Market: Risk Premium Analysis</w:t>
      </w:r>
    </w:p>
    <w:p>
      <w:pPr>
        <w:spacing w:before="60" w:after="100" w:line="276"/>
        <w:jc w:val="both"/>
      </w:pPr>
      <w:r>
        <w:rPr>
          <w:rFonts w:ascii="Arial" w:cs="Arial" w:eastAsia="Arial" w:hAnsi="Arial"/>
          <w:b w:val="false"/>
          <w:bCs w:val="false"/>
          <w:i w:val="false"/>
          <w:iCs w:val="false"/>
          <w:color w:val="4A4A4A"/>
          <w:sz w:val="20"/>
          <w:szCs w:val="20"/>
        </w:rPr>
        <w:t xml:space="preserve">The conflict has generated a sustained oil market risk premium — the difference between the observed oil price and what supply/demand fundamentals would otherwise justify. In January 2026, prior to Operation Final Account, this premium was estimated at approximately $5/barrel (Brent at $72.5). By 04 March 2026, Brent is trading at $82.3/barrel, implying a risk premium of approximately $15/barrel — consistent with markets pricing in a 35-40% probability of prolonged Hormuz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200"/>
        <w:gridCol w:w="3060"/>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JAN 2026</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04 MAR 2026</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CHANGE</w:t>
            </w:r>
          </w:p>
        </w:tc>
        <w:tc>
          <w:tcPr>
            <w:tcW w:type="dxa" w:w="30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30-DAY PROJECTION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Brent Crude ($/bbl)</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$72.5</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$82.3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+13.5%</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$90-100 (base); $120+ (full closure)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WTI Crude ($/bbl)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$69.8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$79.6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+14.0%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$85-95</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Gold ($/oz)</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$2,650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$2,950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+11.3%</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$3,000+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Global Freight Index (FBX)</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2,840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+35.2%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3,500+ (Suez/Hormuz blocked)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War-Risk Insurance (VLCC)</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$50k/transit</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$250k-$1M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+400-1,900%</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Rising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Baltic Dry Index</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1,750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2,430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+38.9%</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2,800-3,200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Israeli TA-35 Index</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1,980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1,540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-22.2%</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Highly volatile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USD/IRR (Black Market)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550,000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950,000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-42% (IRR)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Hyperinflation risk</w:t>
            </w:r>
          </w:p>
        </w:tc>
      </w:tr>
    </w:tbl>
    <w:p>
      <w:pPr>
        <w:shd w:fill="F0F4F8" w:val="clear"/>
        <w:spacing w:before="60" w:after="60"/>
        <w:ind w:left="200"/>
      </w:pPr>
      <w:r>
        <w:rPr>
          <w:rFonts w:ascii="Arial" w:cs="Arial" w:eastAsia="Arial" w:hAnsi="Arial"/>
          <w:i/>
          <w:iCs/>
          <w:color w:val="666666"/>
          <w:sz w:val="18"/>
          <w:szCs w:val="18"/>
        </w:rPr>
        <w:t xml:space="preserve">📊 SUGGESTED VISUALIZATION: Multi-line chart — Brent crude price overlaid with key conflict escalation events (Oct 2023 to Mar 2026). Source: Bloomberg/EIA.</w:t>
      </w:r>
    </w:p>
    <w:p>
      <w:pPr>
        <w:pStyle w:val="Heading2"/>
        <w:spacing w:before="240" w:after="120"/>
      </w:pPr>
      <w:r>
        <w:rPr>
          <w:rFonts w:ascii="Arial" w:cs="Arial" w:eastAsia="Arial" w:hAnsi="Arial"/>
          <w:b/>
          <w:bCs/>
          <w:color w:val="1B3A5C"/>
          <w:sz w:val="24"/>
          <w:szCs w:val="24"/>
        </w:rPr>
        <w:t xml:space="preserve">Strait of Hormuz: The Chokepoint Risk</w:t>
      </w:r>
    </w:p>
    <w:p>
      <w:pPr>
        <w:spacing w:before="60" w:after="100" w:line="276"/>
        <w:jc w:val="both"/>
      </w:pPr>
      <w:r>
        <w:rPr>
          <w:rFonts w:ascii="Arial" w:cs="Arial" w:eastAsia="Arial" w:hAnsi="Arial"/>
          <w:b w:val="false"/>
          <w:bCs w:val="false"/>
          <w:i w:val="false"/>
          <w:iCs w:val="false"/>
          <w:color w:val="4A4A4A"/>
          <w:sz w:val="20"/>
          <w:szCs w:val="20"/>
        </w:rPr>
        <w:t xml:space="preserve">The Strait of Hormuz is the world's single most important oil transit chokepoint. Approximately 17-20 million barrels per day (mb/d) — roughly 20% of global oil consumption and 25-30% of globally traded LNG — transits through the strait. The Iran-initiated partial mining of Hormuz in early March 2026 has reduced traffic by an estimated 18%, with multiple major shipping lines (Maersk, MSC, Hapag-Lloyd, CMA CGM) suspending Hormuz transits entirely.</w:t>
      </w:r>
    </w:p>
    <w:p>
      <w:pPr>
        <w:pStyle w:val="ListParagraph"/>
        <w:numPr>
          <w:ilvl w:val="0"/>
          <w:numId w:val="2"/>
        </w:numPr>
        <w:spacing w:before="40" w:after="40" w:line="276"/>
      </w:pPr>
      <w:r>
        <w:rPr>
          <w:rFonts w:ascii="Arial" w:cs="Arial" w:eastAsia="Arial" w:hAnsi="Arial"/>
          <w:color w:val="4A4A4A"/>
          <w:sz w:val="20"/>
          <w:szCs w:val="20"/>
        </w:rPr>
        <w:t xml:space="preserve">Current status: Partial choke. US naval strikes on 03 March 2026 partially cleared Iranian mine-laying vessels; transit is resuming at reduced volumes.</w:t>
      </w:r>
    </w:p>
    <w:p>
      <w:pPr>
        <w:pStyle w:val="ListParagraph"/>
        <w:numPr>
          <w:ilvl w:val="0"/>
          <w:numId w:val="2"/>
        </w:numPr>
        <w:spacing w:before="40" w:after="40" w:line="276"/>
      </w:pPr>
      <w:r>
        <w:rPr>
          <w:rFonts w:ascii="Arial" w:cs="Arial" w:eastAsia="Arial" w:hAnsi="Arial"/>
          <w:color w:val="4A4A4A"/>
          <w:sz w:val="20"/>
          <w:szCs w:val="20"/>
        </w:rPr>
        <w:t xml:space="preserve">Full closure scenario (probability: 35%): Would remove ~20 mb/d from global markets. At current consumption, global strategic petroleum reserves would be exhausted within 30-45 days. Oil price shock: $120-150+/barrel modelled by Goldman Sachs and IEA.</w:t>
      </w:r>
    </w:p>
    <w:p>
      <w:pPr>
        <w:pStyle w:val="ListParagraph"/>
        <w:numPr>
          <w:ilvl w:val="0"/>
          <w:numId w:val="2"/>
        </w:numPr>
        <w:spacing w:before="40" w:after="40" w:line="276"/>
      </w:pPr>
      <w:r>
        <w:rPr>
          <w:rFonts w:ascii="Arial" w:cs="Arial" w:eastAsia="Arial" w:hAnsi="Arial"/>
          <w:color w:val="4A4A4A"/>
          <w:sz w:val="20"/>
          <w:szCs w:val="20"/>
        </w:rPr>
        <w:t xml:space="preserve">Alternative routes: Cape of Good Hope adds approximately 2-3 weeks to tanker transit; insufficient capacity for Hormuz volume substitution.</w:t>
      </w:r>
    </w:p>
    <w:p>
      <w:pPr>
        <w:pStyle w:val="Heading2"/>
        <w:spacing w:before="240" w:after="120"/>
      </w:pPr>
      <w:r>
        <w:rPr>
          <w:rFonts w:ascii="Arial" w:cs="Arial" w:eastAsia="Arial" w:hAnsi="Arial"/>
          <w:b/>
          <w:bCs/>
          <w:color w:val="1B3A5C"/>
          <w:sz w:val="24"/>
          <w:szCs w:val="24"/>
        </w:rPr>
        <w:t xml:space="preserve">LNG Shock &amp; Energy Market Cascades</w:t>
      </w:r>
    </w:p>
    <w:p>
      <w:pPr>
        <w:spacing w:before="60" w:after="100" w:line="276"/>
        <w:jc w:val="both"/>
      </w:pPr>
      <w:r>
        <w:rPr>
          <w:rFonts w:ascii="Arial" w:cs="Arial" w:eastAsia="Arial" w:hAnsi="Arial"/>
          <w:b w:val="false"/>
          <w:bCs w:val="false"/>
          <w:i w:val="false"/>
          <w:iCs w:val="false"/>
          <w:color w:val="4A4A4A"/>
          <w:sz w:val="20"/>
          <w:szCs w:val="20"/>
        </w:rPr>
        <w:t xml:space="preserve">Qatar — the world's second-largest LNG exporter — has paused Hormuz-transiting LNG shipments, causing European spot gas prices to rise approximately 24%. This represents a significant regression for European energy markets, which had rebuilt supply margins following the 2022 Russia-Ukraine energy crisis. Asian LNG spot prices have similarly spiked, affecting industrial production costs across South Korea, Japan, and Taiwan. The fertilizer cascade effect — with urea production dependent on natural gas, and 30% of global urea flowing via Hormuz — presents a 6-9 month food price inflation risk that will disproportionately impact South Asia and Sub-Saharan Africa.</w:t>
      </w:r>
    </w:p>
    <w:p>
      <w:pPr>
        <w:pStyle w:val="Heading2"/>
        <w:spacing w:before="240" w:after="120"/>
      </w:pPr>
      <w:r>
        <w:rPr>
          <w:rFonts w:ascii="Arial" w:cs="Arial" w:eastAsia="Arial" w:hAnsi="Arial"/>
          <w:b/>
          <w:bCs/>
          <w:color w:val="1B3A5C"/>
          <w:sz w:val="24"/>
          <w:szCs w:val="24"/>
        </w:rPr>
        <w:t xml:space="preserve">Supply Chain Stress: The 20-Day Dead Capital Problem</w:t>
      </w:r>
    </w:p>
    <w:p>
      <w:pPr>
        <w:spacing w:before="60" w:after="100" w:line="276"/>
        <w:jc w:val="both"/>
      </w:pPr>
      <w:r>
        <w:rPr>
          <w:rFonts w:ascii="Arial" w:cs="Arial" w:eastAsia="Arial" w:hAnsi="Arial"/>
          <w:b w:val="false"/>
          <w:bCs w:val="false"/>
          <w:i w:val="false"/>
          <w:iCs w:val="false"/>
          <w:color w:val="4A4A4A"/>
          <w:sz w:val="20"/>
          <w:szCs w:val="20"/>
        </w:rPr>
        <w:t xml:space="preserve">Average container shipping transit from Shanghai to Rotterdam has extended from 35 days to 55 days — an increase of 20 days driven by Gulf/Red Sea re-routing via Cape of Good Hope and war-risk insurance constraints limiting vessel transits. Each additional day of transit represents 'dead capital' — goods in transit that cannot be sold, inventory that cannot be replenished, and working capital tied up in floating warehouses. For a $1M cargo, 20 additional transit days at a 5% annual cost of capital represents approximately $2,740 in additional financing cost — multiplied across millions of containers, the macro impact is significant.</w:t>
      </w:r>
    </w:p>
    <w:p>
      <w:pPr>
        <w:pStyle w:val="ListParagraph"/>
        <w:numPr>
          <w:ilvl w:val="0"/>
          <w:numId w:val="2"/>
        </w:numPr>
        <w:spacing w:before="40" w:after="40" w:line="276"/>
      </w:pPr>
      <w:r>
        <w:rPr>
          <w:rFonts w:ascii="Arial" w:cs="Arial" w:eastAsia="Arial" w:hAnsi="Arial"/>
          <w:color w:val="4A4A4A"/>
          <w:sz w:val="20"/>
          <w:szCs w:val="20"/>
        </w:rPr>
        <w:t xml:space="preserve">170 containerships currently trapped in Gulf waters, representing $2-5bn in cargo. Source: IMO.</w:t>
      </w:r>
    </w:p>
    <w:p>
      <w:pPr>
        <w:pStyle w:val="ListParagraph"/>
        <w:numPr>
          <w:ilvl w:val="0"/>
          <w:numId w:val="2"/>
        </w:numPr>
        <w:spacing w:before="40" w:after="40" w:line="276"/>
      </w:pPr>
      <w:r>
        <w:rPr>
          <w:rFonts w:ascii="Arial" w:cs="Arial" w:eastAsia="Arial" w:hAnsi="Arial"/>
          <w:color w:val="4A4A4A"/>
          <w:sz w:val="20"/>
          <w:szCs w:val="20"/>
        </w:rPr>
        <w:t xml:space="preserve">Suez Canal daily transits reduced from 52 to 28 ships/day (-46%). Source: Suez Canal Authority.</w:t>
      </w:r>
    </w:p>
    <w:p>
      <w:pPr>
        <w:pStyle w:val="Heading2"/>
        <w:spacing w:before="240" w:after="120"/>
      </w:pPr>
      <w:r>
        <w:rPr>
          <w:rFonts w:ascii="Arial" w:cs="Arial" w:eastAsia="Arial" w:hAnsi="Arial"/>
          <w:b/>
          <w:bCs/>
          <w:color w:val="1B3A5C"/>
          <w:sz w:val="24"/>
          <w:szCs w:val="24"/>
        </w:rPr>
        <w:t xml:space="preserve">Sectoral Winners &amp; Losers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SECTOR</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5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Defence / Arms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WINNER (++)</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BAE, Raytheon, Lockheed Martin, Rafael: order backlogs +40-60%. THAAD, Iron Dome resupply orders.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Energy (E&amp;P)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WINNER (+)</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Saudi Aramco, ExxonMobil, Chevron: oil revenue up; non-Hormuz producers benefit.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Shipping / Logistics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MIXED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Longer routes = higher revenue per voyage; war-risk insurance erodes margins; 4 majors suspended.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Aviation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LOSER (-)</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Airspace closures, +30% fuel costs, route extensions. Emirates (partial), Lufthansa, BA affected.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Chemicals / Petrochemicals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LOSER (-)</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Feedstock supply disruption; polymer prices +15%; packaging, auto, electronics downstream.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Agriculture / Food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LOSER (-)</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Fertilizer supply disruption; food inflation 6-9 month lag; agribusiness (Brazil, India) margin squeeze.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Real Estate (Gulf)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LOSER (-)</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CAPEX frozen; $40bn+ in megaprojects delayed; NEOM, Dubai mega-developments paused.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Insurance / Re-insurance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WINNER (+)</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Premium income surge; war-risk rates up 200-300%; Munich Re, Swiss Re, Lloyd's benefit short-term.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Hospitality / Tourism (Gulf)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LOSER (--)</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Bookings down 60-80%; $8bn revenue loss projected for UAE, Jordan, Egypt.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Technology (non-defence)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LOSER (-)</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Expat evacuations; $500M+ relocation costs; data centre investment paused in Gulf.</w:t>
            </w:r>
          </w:p>
        </w:tc>
      </w:tr>
    </w:tbl>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SECTION 5: GEOPOLITICAL ALIGNMENT &amp; PROXY WARFARE</w:t>
      </w:r>
    </w:p>
    <w:p>
      <w:pPr>
        <w:pStyle w:val="Heading2"/>
        <w:spacing w:before="240" w:after="120"/>
      </w:pPr>
      <w:r>
        <w:rPr>
          <w:rFonts w:ascii="Arial" w:cs="Arial" w:eastAsia="Arial" w:hAnsi="Arial"/>
          <w:b/>
          <w:bCs/>
          <w:color w:val="1B3A5C"/>
          <w:sz w:val="24"/>
          <w:szCs w:val="24"/>
        </w:rPr>
        <w:t xml:space="preserve">Direct Combatants</w:t>
      </w:r>
    </w:p>
    <w:p>
      <w:pPr>
        <w:spacing w:before="60" w:after="100" w:line="276"/>
        <w:jc w:val="both"/>
      </w:pPr>
      <w:r>
        <w:rPr>
          <w:rFonts w:ascii="Arial" w:cs="Arial" w:eastAsia="Arial" w:hAnsi="Arial"/>
          <w:b w:val="false"/>
          <w:bCs w:val="false"/>
          <w:i w:val="false"/>
          <w:iCs w:val="false"/>
          <w:color w:val="4A4A4A"/>
          <w:sz w:val="20"/>
          <w:szCs w:val="20"/>
        </w:rPr>
        <w:t xml:space="preserve">Three state actors have conducted direct military operations: the United States (strike missions, naval operations, air defence deployment); Israel (primary kinetic campaign against Iranian nuclear and military infrastructure); and Iran (ballistic missile/drone strikes, Hormuz operations, cyber attacks). The regime-change objective of Operation Final Account has qualitatively shifted US involvement from 'support role' to co-belligerent — a distinction with significant international legal implications.</w:t>
      </w:r>
    </w:p>
    <w:p>
      <w:pPr>
        <w:pStyle w:val="Heading2"/>
        <w:spacing w:before="240" w:after="120"/>
      </w:pPr>
      <w:r>
        <w:rPr>
          <w:rFonts w:ascii="Arial" w:cs="Arial" w:eastAsia="Arial" w:hAnsi="Arial"/>
          <w:b/>
          <w:bCs/>
          <w:color w:val="1B3A5C"/>
          <w:sz w:val="24"/>
          <w:szCs w:val="24"/>
        </w:rPr>
        <w:t xml:space="preserve">Proxy Network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PROXY GROUP</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SPONSOR</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 (MAR 2026)</w:t>
            </w:r>
          </w:p>
        </w:tc>
        <w:tc>
          <w:tcPr>
            <w:tcW w:type="dxa" w:w="3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OPERATIONAL CAPACITY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Hezbollah (Lebanon)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ACTIVATED — full arsenal deployment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100,000+ rockets; Precision Guided Munitions; anti-tank capability. Most capable non-state actor in conflict.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Houthis / Ansar Allah (Yemen)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ACTIVE — Red Sea operations continue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Anti-ship ballistic missiles; drone swarms. Shipping disruption sustained. Coalition air strikes ongoing.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Kataib Hezbollah (Iraq)</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Iran / IRGC Quds Force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REDUCED — leadership decapitation strikes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Diminished but operational; drone/mortar capability vs US bases in Iraq.</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Palestinian Islamic Jihad (Gaza)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DEGRADED — Phase 0-1 attrition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Significantly reduced capacity following Gaza campaign.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Syrian government (facilitation)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Iran / Russia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FACILITATIVE — logistics corridor</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Provides overland supply route; damaged by Israeli strikes but partially functional.</w:t>
            </w:r>
          </w:p>
        </w:tc>
      </w:tr>
    </w:tbl>
    <w:p>
      <w:pPr>
        <w:pStyle w:val="Heading2"/>
        <w:spacing w:before="240" w:after="120"/>
      </w:pPr>
      <w:r>
        <w:rPr>
          <w:rFonts w:ascii="Arial" w:cs="Arial" w:eastAsia="Arial" w:hAnsi="Arial"/>
          <w:b/>
          <w:bCs/>
          <w:color w:val="1B3A5C"/>
          <w:sz w:val="24"/>
          <w:szCs w:val="24"/>
        </w:rPr>
        <w:t xml:space="preserve">Gulf States: Neutral Hosts Under Fire</w:t>
      </w:r>
    </w:p>
    <w:p>
      <w:pPr>
        <w:spacing w:before="60" w:after="100" w:line="276"/>
        <w:jc w:val="both"/>
      </w:pPr>
      <w:r>
        <w:rPr>
          <w:rFonts w:ascii="Arial" w:cs="Arial" w:eastAsia="Arial" w:hAnsi="Arial"/>
          <w:b w:val="false"/>
          <w:bCs w:val="false"/>
          <w:i w:val="false"/>
          <w:iCs w:val="false"/>
          <w:color w:val="4A4A4A"/>
          <w:sz w:val="20"/>
          <w:szCs w:val="20"/>
        </w:rPr>
        <w:t xml:space="preserve">The Gulf Cooperation Council (GCC) states — UAE, Bahrain, Kuwait, Qatar, and Saudi Arabia — occupy an increasingly untenable position. They host critical US military installations (Al Udeid Air Base in Qatar, NSA Bahrain, Ali Al Salem in Kuwait) actively used to conduct operations against Iran, while simultaneously claiming neutrality. Iran has specifically targeted UAE and Bahrain — framing strikes as proportionate responses to the use of their territories for US operations. This creates a 'co-belligerent by hosting' legal ambiguity that may be tested in future ICC proceedings.</w:t>
      </w:r>
    </w:p>
    <w:p>
      <w:pPr>
        <w:pStyle w:val="Heading2"/>
        <w:spacing w:before="240" w:after="120"/>
      </w:pPr>
      <w:r>
        <w:rPr>
          <w:rFonts w:ascii="Arial" w:cs="Arial" w:eastAsia="Arial" w:hAnsi="Arial"/>
          <w:b/>
          <w:bCs/>
          <w:color w:val="1B3A5C"/>
          <w:sz w:val="24"/>
          <w:szCs w:val="24"/>
        </w:rPr>
        <w:t xml:space="preserve">Great Power Dynamics</w:t>
      </w:r>
    </w:p>
    <w:p>
      <w:pPr>
        <w:pStyle w:val="ListParagraph"/>
        <w:numPr>
          <w:ilvl w:val="0"/>
          <w:numId w:val="2"/>
        </w:numPr>
        <w:spacing w:before="40" w:after="40" w:line="276"/>
      </w:pPr>
      <w:r>
        <w:rPr>
          <w:rFonts w:ascii="Arial" w:cs="Arial" w:eastAsia="Arial" w:hAnsi="Arial"/>
          <w:color w:val="4A4A4A"/>
          <w:sz w:val="20"/>
          <w:szCs w:val="20"/>
        </w:rPr>
        <w:t xml:space="preserve">Russia: Primary S-300 supplier to Iran; blocking UNSC ceasefire resolutions; providing diplomatic cover. Russian arms transfers have been paused since Phase 2 strikes, but intelligence cooperation reportedly continues. Russia benefits from elevated oil prices and Western distraction from Ukraine.</w:t>
      </w:r>
    </w:p>
    <w:p>
      <w:pPr>
        <w:pStyle w:val="ListParagraph"/>
        <w:numPr>
          <w:ilvl w:val="0"/>
          <w:numId w:val="2"/>
        </w:numPr>
        <w:spacing w:before="40" w:after="40" w:line="276"/>
      </w:pPr>
      <w:r>
        <w:rPr>
          <w:rFonts w:ascii="Arial" w:cs="Arial" w:eastAsia="Arial" w:hAnsi="Arial"/>
          <w:color w:val="4A4A4A"/>
          <w:sz w:val="20"/>
          <w:szCs w:val="20"/>
        </w:rPr>
        <w:t xml:space="preserve">China: World's largest buyer of Iranian crude oil (at significant discount); blocking UNSC resolutions alongside Russia; 12 Chinese banks warned by US Treasury re: secondary sanctions for Iranian oil trade. China's economic interest in conflict resolution competes with its interest in constraining US unilateralism.</w:t>
      </w:r>
    </w:p>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SECTION 6: LEGAL ANALYSIS &amp; AGGRESSION MATRIX</w:t>
      </w:r>
    </w:p>
    <w:p>
      <w:pPr>
        <w:pStyle w:val="Heading2"/>
        <w:spacing w:before="240" w:after="120"/>
      </w:pPr>
      <w:r>
        <w:rPr>
          <w:rFonts w:ascii="Arial" w:cs="Arial" w:eastAsia="Arial" w:hAnsi="Arial"/>
          <w:b/>
          <w:bCs/>
          <w:color w:val="1B3A5C"/>
          <w:sz w:val="24"/>
          <w:szCs w:val="24"/>
        </w:rPr>
        <w:t xml:space="preserve">Escalation Cycle: Who Initiated Each Phase?</w:t>
      </w:r>
    </w:p>
    <w:p>
      <w:pPr>
        <w:spacing w:before="60" w:after="100" w:line="276"/>
        <w:jc w:val="both"/>
      </w:pPr>
      <w:r>
        <w:rPr>
          <w:rFonts w:ascii="Arial" w:cs="Arial" w:eastAsia="Arial" w:hAnsi="Arial"/>
          <w:b w:val="false"/>
          <w:bCs w:val="false"/>
          <w:i w:val="false"/>
          <w:iCs w:val="false"/>
          <w:color w:val="4A4A4A"/>
          <w:sz w:val="20"/>
          <w:szCs w:val="20"/>
        </w:rPr>
        <w:t xml:space="preserve">A critical analytical exercise — and one subject to significant political contestation — is mapping the initiating actor in each escalation cycle. This report presents the data without advocacy, applying the UN Charter and International Humanitarian Law (IHL) frameworks as analytical lenses.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200"/>
        <w:gridCol w:w="1800"/>
        <w:gridCol w:w="33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INITIATING ACT</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LEGAL CLAIM</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LEGAL ASSESSMENT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Phase 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Hamas Oct 7 attack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Hamas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None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Targeting of civilians — clear IHL violation; war crime.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Phase 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Gaza campaign scale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Israel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Self-defence (Art. 51)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Lawful basis; proportionality contested; ICJ genocide case filed.</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Phase 1 trigger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Consulate strike (Apr 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Israel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Counter-terrorism</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Vienna Convention violation; provides casus belli to Iran.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300+ missiles (Apr 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Proportionate retaliation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Claimed; most intercepted; self-defence argument viable.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Phase 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Operation Rising Lion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Israel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Pre-emptive self-defence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Disputed; UN Charter requires imminent threat, not potential future capability.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Operation Final Account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USA/Israel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Nuclear threat prevention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Regime change exceeds Art. 51; potential violation of Art. 2(4) UN Charter.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Phase 3 Iran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Hormuz mining + missiles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Self-defence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Claimed; mining of international waters violates UNCLOS.</w:t>
            </w:r>
          </w:p>
        </w:tc>
      </w:tr>
    </w:tbl>
    <w:p>
      <w:pPr>
        <w:pStyle w:val="Heading2"/>
        <w:spacing w:before="240" w:after="120"/>
      </w:pPr>
      <w:r>
        <w:rPr>
          <w:rFonts w:ascii="Arial" w:cs="Arial" w:eastAsia="Arial" w:hAnsi="Arial"/>
          <w:b/>
          <w:bCs/>
          <w:color w:val="1B3A5C"/>
          <w:sz w:val="24"/>
          <w:szCs w:val="24"/>
        </w:rPr>
        <w:t xml:space="preserve">Ceasefire Tracker: Diplomacy's Failures</w:t>
      </w:r>
    </w:p>
    <w:p>
      <w:pPr>
        <w:spacing w:before="60" w:after="100" w:line="276"/>
        <w:jc w:val="both"/>
      </w:pPr>
      <w:r>
        <w:rPr>
          <w:rFonts w:ascii="Arial" w:cs="Arial" w:eastAsia="Arial" w:hAnsi="Arial"/>
          <w:b w:val="false"/>
          <w:bCs w:val="false"/>
          <w:i w:val="false"/>
          <w:iCs w:val="false"/>
          <w:color w:val="4A4A4A"/>
          <w:sz w:val="20"/>
          <w:szCs w:val="20"/>
        </w:rPr>
        <w:t xml:space="preserve">Six formal ceasefire opportunities have been identified across the conflict. Only one — the Trump-Doha Agreement of June 2025 — achieved a temporary halt. The UNSC has been rendered structurally ineffective: the P5 veto mechanism has been invoked multiple times by competing blocs (US blocking pro-Palestinian resolutions; Russia/China blocking pro-ceasefire resolutions in Phase 3).</w:t>
      </w:r>
    </w:p>
    <w:p>
      <w:pPr>
        <w:pStyle w:val="Heading2"/>
        <w:spacing w:before="240" w:after="120"/>
      </w:pPr>
      <w:r>
        <w:rPr>
          <w:rFonts w:ascii="Arial" w:cs="Arial" w:eastAsia="Arial" w:hAnsi="Arial"/>
          <w:b/>
          <w:bCs/>
          <w:color w:val="1B3A5C"/>
          <w:sz w:val="24"/>
          <w:szCs w:val="24"/>
        </w:rPr>
        <w:t xml:space="preserve">Controversial Events: Legal Red Lines</w:t>
      </w:r>
    </w:p>
    <w:p>
      <w:pPr>
        <w:pStyle w:val="ListParagraph"/>
        <w:numPr>
          <w:ilvl w:val="0"/>
          <w:numId w:val="2"/>
        </w:numPr>
        <w:spacing w:before="40" w:after="40" w:line="276"/>
      </w:pPr>
      <w:r>
        <w:rPr>
          <w:rFonts w:ascii="Arial" w:cs="Arial" w:eastAsia="Arial" w:hAnsi="Arial"/>
          <w:color w:val="4A4A4A"/>
          <w:sz w:val="20"/>
          <w:szCs w:val="20"/>
        </w:rPr>
        <w:t xml:space="preserve">Damascus Consulate Strike (01 Apr 2024): Strikes on diplomatic premises are explicitly prohibited by the Vienna Convention on Diplomatic Relations (1961). Israel did not deny the strike but classified the consulate as an IRGC command facility — a 'dual use' argument that most international legal scholars reject as insufficient to override diplomatic inviolability.</w:t>
      </w:r>
    </w:p>
    <w:p>
      <w:pPr>
        <w:pStyle w:val="ListParagraph"/>
        <w:numPr>
          <w:ilvl w:val="0"/>
          <w:numId w:val="2"/>
        </w:numPr>
        <w:spacing w:before="40" w:after="40" w:line="276"/>
      </w:pPr>
      <w:r>
        <w:rPr>
          <w:rFonts w:ascii="Arial" w:cs="Arial" w:eastAsia="Arial" w:hAnsi="Arial"/>
          <w:color w:val="4A4A4A"/>
          <w:sz w:val="20"/>
          <w:szCs w:val="20"/>
        </w:rPr>
        <w:t xml:space="preserve">School/Civilian Infrastructure Bombing (Multiple Phases): Both Gaza and Iranian civilian infrastructure strikes have been documented by OCHA and human rights organisations. Distinction, proportionality, and precaution requirements of IHL (Additional Protocol I) are the relevant framework.</w:t>
      </w:r>
    </w:p>
    <w:p>
      <w:pPr>
        <w:pStyle w:val="ListParagraph"/>
        <w:numPr>
          <w:ilvl w:val="0"/>
          <w:numId w:val="2"/>
        </w:numPr>
        <w:spacing w:before="40" w:after="40" w:line="276"/>
      </w:pPr>
      <w:r>
        <w:rPr>
          <w:rFonts w:ascii="Arial" w:cs="Arial" w:eastAsia="Arial" w:hAnsi="Arial"/>
          <w:color w:val="4A4A4A"/>
          <w:sz w:val="20"/>
          <w:szCs w:val="20"/>
        </w:rPr>
        <w:t xml:space="preserve">Khamenei Killing (28 Feb 2026 — UNCONFIRMED): If confirmed, the killing of a head of state in a military strike raises IHL questions regarding the distinction between a legitimate military commander-in-chief (lawful target) and a civilian political leader (protected). Legal opinion is divided; this report notes the controversy without adjudicating it.</w:t>
      </w:r>
    </w:p>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SECTION 7: INFORMATION WARFARE &amp; NARRATIVE BATTLE</w:t>
      </w:r>
    </w:p>
    <w:p>
      <w:pPr>
        <w:pStyle w:val="Heading2"/>
        <w:spacing w:before="240" w:after="120"/>
      </w:pPr>
      <w:r>
        <w:rPr>
          <w:rFonts w:ascii="Arial" w:cs="Arial" w:eastAsia="Arial" w:hAnsi="Arial"/>
          <w:b/>
          <w:bCs/>
          <w:color w:val="1B3A5C"/>
          <w:sz w:val="24"/>
          <w:szCs w:val="24"/>
        </w:rPr>
        <w:t xml:space="preserve">Disinformation Index</w:t>
      </w:r>
    </w:p>
    <w:p>
      <w:pPr>
        <w:spacing w:before="60" w:after="100" w:line="276"/>
        <w:jc w:val="both"/>
      </w:pPr>
      <w:r>
        <w:rPr>
          <w:rFonts w:ascii="Arial" w:cs="Arial" w:eastAsia="Arial" w:hAnsi="Arial"/>
          <w:b w:val="false"/>
          <w:bCs w:val="false"/>
          <w:i w:val="false"/>
          <w:iCs w:val="false"/>
          <w:color w:val="4A4A4A"/>
          <w:sz w:val="20"/>
          <w:szCs w:val="20"/>
        </w:rPr>
        <w:t xml:space="preserve">Social media analysis by Graphika and CASM Technology has identified coordinated bot-driven campaigns on both sides of the conflict. Pro-Iran bot networks have amplified hashtags including #IranVictory (+340% above baseline activity), while pro-US/Israel accounts have pushed #RegimeChange (+220%). As of 04 March 2026, 37 AI-generated deepfake videos — depicting falsified statements from senior officials — have been identified and removed from X (formerly Twitter), Meta, and TikTok platforms by EU DisinfoLab. The information environment is severely degraded, making real-time assessment of military developments unreliable without multiple source cross-referencing.</w:t>
      </w:r>
    </w:p>
    <w:p>
      <w:pPr>
        <w:pStyle w:val="Heading2"/>
        <w:spacing w:before="240" w:after="120"/>
      </w:pPr>
      <w:r>
        <w:rPr>
          <w:rFonts w:ascii="Arial" w:cs="Arial" w:eastAsia="Arial" w:hAnsi="Arial"/>
          <w:b/>
          <w:bCs/>
          <w:color w:val="1B3A5C"/>
          <w:sz w:val="24"/>
          <w:szCs w:val="24"/>
        </w:rPr>
        <w:t xml:space="preserve">Cyber Domain: Critical Infrastructure Under Attack</w:t>
      </w:r>
    </w:p>
    <w:p>
      <w:pPr>
        <w:pStyle w:val="ListParagraph"/>
        <w:numPr>
          <w:ilvl w:val="0"/>
          <w:numId w:val="2"/>
        </w:numPr>
        <w:spacing w:before="40" w:after="40" w:line="276"/>
      </w:pPr>
      <w:r>
        <w:rPr>
          <w:rFonts w:ascii="Arial" w:cs="Arial" w:eastAsia="Arial" w:hAnsi="Arial"/>
          <w:color w:val="4A4A4A"/>
          <w:sz w:val="20"/>
          <w:szCs w:val="20"/>
        </w:rPr>
        <w:t xml:space="preserve">Israeli financial sector has experienced +400% increase in DDoS attack frequency, with several banks experiencing temporary outages. Source: Cloudflare.</w:t>
      </w:r>
    </w:p>
    <w:p>
      <w:pPr>
        <w:pStyle w:val="ListParagraph"/>
        <w:numPr>
          <w:ilvl w:val="0"/>
          <w:numId w:val="2"/>
        </w:numPr>
        <w:spacing w:before="40" w:after="40" w:line="276"/>
      </w:pPr>
      <w:r>
        <w:rPr>
          <w:rFonts w:ascii="Arial" w:cs="Arial" w:eastAsia="Arial" w:hAnsi="Arial"/>
          <w:color w:val="4A4A4A"/>
          <w:sz w:val="20"/>
          <w:szCs w:val="20"/>
        </w:rPr>
        <w:t xml:space="preserve">Iranian fuel distribution network was compromised by a cyberattack in March 2026, disrupting fuel station payment systems in 7 provinces. Source: Mandiant (preliminary).</w:t>
      </w:r>
    </w:p>
    <w:p>
      <w:pPr>
        <w:pStyle w:val="ListParagraph"/>
        <w:numPr>
          <w:ilvl w:val="0"/>
          <w:numId w:val="2"/>
        </w:numPr>
        <w:spacing w:before="40" w:after="40" w:line="276"/>
      </w:pPr>
      <w:r>
        <w:rPr>
          <w:rFonts w:ascii="Arial" w:cs="Arial" w:eastAsia="Arial" w:hAnsi="Arial"/>
          <w:color w:val="4A4A4A"/>
          <w:sz w:val="20"/>
          <w:szCs w:val="20"/>
        </w:rPr>
        <w:t xml:space="preserve">Three hospitals in Iran and one Israeli desalination plant have been disrupted by infrastructure-targeting attacks — potential IHL violations by both sides.</w:t>
      </w:r>
    </w:p>
    <w:p>
      <w:pPr>
        <w:pStyle w:val="ListParagraph"/>
        <w:numPr>
          <w:ilvl w:val="0"/>
          <w:numId w:val="2"/>
        </w:numPr>
        <w:spacing w:before="40" w:after="40" w:line="276"/>
      </w:pPr>
      <w:r>
        <w:rPr>
          <w:rFonts w:ascii="Arial" w:cs="Arial" w:eastAsia="Arial" w:hAnsi="Arial"/>
          <w:color w:val="4A4A4A"/>
          <w:sz w:val="20"/>
          <w:szCs w:val="20"/>
        </w:rPr>
        <w:t xml:space="preserve">US-linked 'Tortoiseshell' attribution: Iranian state-linked cyber actors reportedly penetrated 12 US defence contractor networks in February-March 2026. Source: CrowdStrike (preliminary).</w:t>
      </w:r>
    </w:p>
    <w:p>
      <w:pPr>
        <w:pStyle w:val="Heading2"/>
        <w:spacing w:before="240" w:after="120"/>
      </w:pPr>
      <w:r>
        <w:rPr>
          <w:rFonts w:ascii="Arial" w:cs="Arial" w:eastAsia="Arial" w:hAnsi="Arial"/>
          <w:b/>
          <w:bCs/>
          <w:color w:val="1B3A5C"/>
          <w:sz w:val="24"/>
          <w:szCs w:val="24"/>
        </w:rPr>
        <w:t xml:space="preserve">Dark Web &amp; Covert Economics</w:t>
      </w:r>
    </w:p>
    <w:p>
      <w:pPr>
        <w:spacing w:before="60" w:after="100" w:line="276"/>
        <w:jc w:val="both"/>
      </w:pPr>
      <w:r>
        <w:rPr>
          <w:rFonts w:ascii="Arial" w:cs="Arial" w:eastAsia="Arial" w:hAnsi="Arial"/>
          <w:b w:val="false"/>
          <w:bCs w:val="false"/>
          <w:i w:val="false"/>
          <w:iCs w:val="false"/>
          <w:color w:val="4A4A4A"/>
          <w:sz w:val="20"/>
          <w:szCs w:val="20"/>
        </w:rPr>
        <w:t xml:space="preserve">Recorded Future and Flashpoint monitoring of dark web markets has identified Iranian crude oil being offered at approximately 40% below market price — reflecting the 'delivery risk premium' imposed by buyers on sanctioned/conflict-zone cargo. This activity indicates Iran is using non-SWIFT payment channels (Yuan, Ruble, Dirham-denominated transactions) to maintain some oil export revenue despite war conditions. The de-dollarisation pressure this creates is a secondary strategic effect that outlasts the immediate conflict.</w:t>
      </w:r>
    </w:p>
    <w:p>
      <w:pPr>
        <w:pStyle w:val="Heading2"/>
        <w:spacing w:before="240" w:after="120"/>
      </w:pPr>
      <w:r>
        <w:rPr>
          <w:rFonts w:ascii="Arial" w:cs="Arial" w:eastAsia="Arial" w:hAnsi="Arial"/>
          <w:b/>
          <w:bCs/>
          <w:color w:val="1B3A5C"/>
          <w:sz w:val="24"/>
          <w:szCs w:val="24"/>
        </w:rPr>
        <w:t xml:space="preserve">SIGINT Leaks &amp; Their Impact</w:t>
      </w:r>
    </w:p>
    <w:p>
      <w:pPr>
        <w:spacing w:before="60" w:after="100" w:line="276"/>
        <w:jc w:val="both"/>
      </w:pPr>
      <w:r>
        <w:rPr>
          <w:rFonts w:ascii="Arial" w:cs="Arial" w:eastAsia="Arial" w:hAnsi="Arial"/>
          <w:b w:val="false"/>
          <w:bCs w:val="false"/>
          <w:i w:val="false"/>
          <w:iCs w:val="false"/>
          <w:color w:val="4A4A4A"/>
          <w:sz w:val="20"/>
          <w:szCs w:val="20"/>
        </w:rPr>
        <w:t xml:space="preserve">Multiple alleged SIGINT intercepts have circulated on OSINT Telegram channels, including purported IRGC communications stating 'we have lost half our launchers.' These are classified as UNVERIFIED by this report. The strategic impact of such leaks — regardless of authenticity — is real: they shape public perception, affect troop morale, and complicate military operational security for all parties.</w:t>
      </w:r>
    </w:p>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SECTION 8: PREDICTIVE SCENARIOS &amp; STRATEGIC OUTLOOK</w:t>
      </w:r>
    </w:p>
    <w:p>
      <w:pPr>
        <w:shd w:fill="1B3A5C" w:val="clear"/>
        <w:spacing w:before="80" w:after="80"/>
        <w:ind w:left="200" w:right="200"/>
      </w:pPr>
      <w:r>
        <w:rPr>
          <w:rFonts w:ascii="Arial" w:cs="Arial" w:eastAsia="Arial" w:hAnsi="Arial"/>
          <w:b/>
          <w:bCs/>
          <w:color w:val="FFFFFF"/>
          <w:sz w:val="20"/>
          <w:szCs w:val="20"/>
        </w:rPr>
        <w:t xml:space="preserve">NOTE: </w:t>
      </w:r>
      <w:r>
        <w:rPr>
          <w:rFonts w:ascii="Arial" w:cs="Arial" w:eastAsia="Arial" w:hAnsi="Arial"/>
          <w:color w:val="FFFFFF"/>
          <w:sz w:val="20"/>
          <w:szCs w:val="20"/>
        </w:rPr>
        <w:t xml:space="preserve">Probability estimates are derived from market pricing, historical conflict patterns, diplomatic channel analysis, and RAND/ICG scenario models. They represent analytical estimates, not forecasts. Source: RAND, ICG, IMF, Goldman Sachs.</w:t>
      </w:r>
    </w:p>
    <w:p>
      <w:pPr>
        <w:spacing w:before="80" w:after="80"/>
      </w:pPr>
    </w:p>
    <w:p>
      <w:pPr>
        <w:pStyle w:val="Heading2"/>
        <w:spacing w:before="240" w:after="120"/>
      </w:pPr>
      <w:r>
        <w:rPr>
          <w:rFonts w:ascii="Arial" w:cs="Arial" w:eastAsia="Arial" w:hAnsi="Arial"/>
          <w:b/>
          <w:bCs/>
          <w:color w:val="1B3A5C"/>
          <w:sz w:val="24"/>
          <w:szCs w:val="24"/>
        </w:rPr>
        <w:t xml:space="preserve">Scenario A: Ceasefire Within 30 Days — Probability: 30%</w:t>
      </w:r>
    </w:p>
    <w:p>
      <w:pPr>
        <w:spacing w:before="60" w:after="100" w:line="276"/>
        <w:jc w:val="both"/>
      </w:pPr>
      <w:r>
        <w:rPr>
          <w:rFonts w:ascii="Arial" w:cs="Arial" w:eastAsia="Arial" w:hAnsi="Arial"/>
          <w:b w:val="false"/>
          <w:bCs w:val="false"/>
          <w:i w:val="false"/>
          <w:iCs w:val="false"/>
          <w:color w:val="4A4A4A"/>
          <w:sz w:val="20"/>
          <w:szCs w:val="20"/>
        </w:rPr>
        <w:t xml:space="preserve">For a ceasefire to materialise within 30 days, several conditions must be simultaneously met: an acceptable third-party mediator (likely Qatar or Oman with US backing) must be engaged; Iran must acknowledge a path to nuclear verification in exchange for sanctions relief; and domestic political pressures on both the Israeli coalition and Iran's successor leadership (if Khamenei is confirmed dead) must align toward de-escalation. The 30% probability reflects that ceasefire momentum has been achieved before (June 2025) but requires significant political will currently not visible.</w:t>
      </w:r>
    </w:p>
    <w:p>
      <w:pPr>
        <w:pStyle w:val="ListParagraph"/>
        <w:numPr>
          <w:ilvl w:val="0"/>
          <w:numId w:val="2"/>
        </w:numPr>
        <w:spacing w:before="40" w:after="40" w:line="276"/>
      </w:pPr>
      <w:r>
        <w:rPr>
          <w:rFonts w:ascii="Arial" w:cs="Arial" w:eastAsia="Arial" w:hAnsi="Arial"/>
          <w:color w:val="4A4A4A"/>
          <w:sz w:val="20"/>
          <w:szCs w:val="20"/>
        </w:rPr>
        <w:t xml:space="preserve">Oil price implication: $75-80/barrel range. Risk premium unwinds. Shipping resumes. Global recession risk falls to ~12%.</w:t>
      </w:r>
    </w:p>
    <w:p>
      <w:pPr>
        <w:pStyle w:val="ListParagraph"/>
        <w:numPr>
          <w:ilvl w:val="0"/>
          <w:numId w:val="2"/>
        </w:numPr>
        <w:spacing w:before="40" w:after="40" w:line="276"/>
      </w:pPr>
      <w:r>
        <w:rPr>
          <w:rFonts w:ascii="Arial" w:cs="Arial" w:eastAsia="Arial" w:hAnsi="Arial"/>
          <w:color w:val="4A4A4A"/>
          <w:sz w:val="20"/>
          <w:szCs w:val="20"/>
        </w:rPr>
        <w:t xml:space="preserve">Market implication: Israeli TA-35 recovery +15-20%; Gulf equities stabilise; freight rates normalise over 60-90 days.</w:t>
      </w:r>
    </w:p>
    <w:p>
      <w:pPr>
        <w:pStyle w:val="Heading2"/>
        <w:spacing w:before="240" w:after="120"/>
      </w:pPr>
      <w:r>
        <w:rPr>
          <w:rFonts w:ascii="Arial" w:cs="Arial" w:eastAsia="Arial" w:hAnsi="Arial"/>
          <w:b/>
          <w:bCs/>
          <w:color w:val="1B3A5C"/>
          <w:sz w:val="24"/>
          <w:szCs w:val="24"/>
        </w:rPr>
        <w:t xml:space="preserve">Scenario B: Stalemate (3-Month Attrition) — Probability: 50%</w:t>
      </w:r>
    </w:p>
    <w:p>
      <w:pPr>
        <w:spacing w:before="60" w:after="100" w:line="276"/>
        <w:jc w:val="both"/>
      </w:pPr>
      <w:r>
        <w:rPr>
          <w:rFonts w:ascii="Arial" w:cs="Arial" w:eastAsia="Arial" w:hAnsi="Arial"/>
          <w:b w:val="false"/>
          <w:bCs w:val="false"/>
          <w:i w:val="false"/>
          <w:iCs w:val="false"/>
          <w:color w:val="4A4A4A"/>
          <w:sz w:val="20"/>
          <w:szCs w:val="20"/>
        </w:rPr>
        <w:t xml:space="preserve">The most likely near-term scenario is a sustained stalemate — continued sporadic missile exchanges, Hormuz traffic at reduced but not zero levels, Hezbollah-Israel border conflict in Lebanon, and diplomatic paralysis. This scenario reflects the current military balance: Israel/US have kinetic superiority but limited ability to end the conflict politically; Iran retains enough residual capability and proxy infrastructure to continue inflicting costs.</w:t>
      </w:r>
    </w:p>
    <w:p>
      <w:pPr>
        <w:pStyle w:val="ListParagraph"/>
        <w:numPr>
          <w:ilvl w:val="0"/>
          <w:numId w:val="2"/>
        </w:numPr>
        <w:spacing w:before="40" w:after="40" w:line="276"/>
      </w:pPr>
      <w:r>
        <w:rPr>
          <w:rFonts w:ascii="Arial" w:cs="Arial" w:eastAsia="Arial" w:hAnsi="Arial"/>
          <w:color w:val="4A4A4A"/>
          <w:sz w:val="20"/>
          <w:szCs w:val="20"/>
        </w:rPr>
        <w:t xml:space="preserve">Oil price implication: $90-100/barrel range. Supply chain stress sustained but manageable. Some shipping lines resume with elevated war-risk premiums.</w:t>
      </w:r>
    </w:p>
    <w:p>
      <w:pPr>
        <w:pStyle w:val="ListParagraph"/>
        <w:numPr>
          <w:ilvl w:val="0"/>
          <w:numId w:val="2"/>
        </w:numPr>
        <w:spacing w:before="40" w:after="40" w:line="276"/>
      </w:pPr>
      <w:r>
        <w:rPr>
          <w:rFonts w:ascii="Arial" w:cs="Arial" w:eastAsia="Arial" w:hAnsi="Arial"/>
          <w:color w:val="4A4A4A"/>
          <w:sz w:val="20"/>
          <w:szCs w:val="20"/>
        </w:rPr>
        <w:t xml:space="preserve">Global recession probability: 25% — unchanged. Cumulative damage to emerging market economies (South Asia, East Africa) intensifies.</w:t>
      </w:r>
    </w:p>
    <w:p>
      <w:pPr>
        <w:pStyle w:val="ListParagraph"/>
        <w:numPr>
          <w:ilvl w:val="0"/>
          <w:numId w:val="2"/>
        </w:numPr>
        <w:spacing w:before="40" w:after="40" w:line="276"/>
      </w:pPr>
      <w:r>
        <w:rPr>
          <w:rFonts w:ascii="Arial" w:cs="Arial" w:eastAsia="Arial" w:hAnsi="Arial"/>
          <w:color w:val="4A4A4A"/>
          <w:sz w:val="20"/>
          <w:szCs w:val="20"/>
        </w:rPr>
        <w:t xml:space="preserve">Political implication: Iranian succession dynamics determine next phase — a reform-oriented successor would create diplomatic opening; IRGC hardliner succession would narrow it.</w:t>
      </w:r>
    </w:p>
    <w:p>
      <w:pPr>
        <w:pStyle w:val="Heading2"/>
        <w:spacing w:before="240" w:after="120"/>
      </w:pPr>
      <w:r>
        <w:rPr>
          <w:rFonts w:ascii="Arial" w:cs="Arial" w:eastAsia="Arial" w:hAnsi="Arial"/>
          <w:b/>
          <w:bCs/>
          <w:color w:val="1B3A5C"/>
          <w:sz w:val="24"/>
          <w:szCs w:val="24"/>
        </w:rPr>
        <w:t xml:space="preserve">Scenario C: Full Escalation to Ground War — Probability: 20%</w:t>
      </w:r>
    </w:p>
    <w:p>
      <w:pPr>
        <w:spacing w:before="60" w:after="100" w:line="276"/>
        <w:jc w:val="both"/>
      </w:pPr>
      <w:r>
        <w:rPr>
          <w:rFonts w:ascii="Arial" w:cs="Arial" w:eastAsia="Arial" w:hAnsi="Arial"/>
          <w:b w:val="false"/>
          <w:bCs w:val="false"/>
          <w:i w:val="false"/>
          <w:iCs w:val="false"/>
          <w:color w:val="4A4A4A"/>
          <w:sz w:val="20"/>
          <w:szCs w:val="20"/>
        </w:rPr>
        <w:t xml:space="preserve">Escalation to full ground war would most likely be triggered by one of three catalysts: (1) confirmed killing of Khamenei combined with IRGC power vacuum; (2) an IRGC attack killing US military personnel at scale, triggering Congressional war authorisation; (3) complete Hormuz closure sustained over 2 weeks, prompting US ground/special forces deployment to secure transit. This scenario represents the tail risk that markets are currently pricing partially.</w:t>
      </w:r>
    </w:p>
    <w:p>
      <w:pPr>
        <w:pStyle w:val="ListParagraph"/>
        <w:numPr>
          <w:ilvl w:val="0"/>
          <w:numId w:val="2"/>
        </w:numPr>
        <w:spacing w:before="40" w:after="40" w:line="276"/>
      </w:pPr>
      <w:r>
        <w:rPr>
          <w:rFonts w:ascii="Arial" w:cs="Arial" w:eastAsia="Arial" w:hAnsi="Arial"/>
          <w:color w:val="4A4A4A"/>
          <w:sz w:val="20"/>
          <w:szCs w:val="20"/>
        </w:rPr>
        <w:t xml:space="preserve">Oil price implication: $120-150+/barrel. Global recession near-certain (probability &gt;60%). Stagflationary shock comparable to 1973.</w:t>
      </w:r>
    </w:p>
    <w:p>
      <w:pPr>
        <w:pStyle w:val="ListParagraph"/>
        <w:numPr>
          <w:ilvl w:val="0"/>
          <w:numId w:val="2"/>
        </w:numPr>
        <w:spacing w:before="40" w:after="40" w:line="276"/>
      </w:pPr>
      <w:r>
        <w:rPr>
          <w:rFonts w:ascii="Arial" w:cs="Arial" w:eastAsia="Arial" w:hAnsi="Arial"/>
          <w:color w:val="4A4A4A"/>
          <w:sz w:val="20"/>
          <w:szCs w:val="20"/>
        </w:rPr>
        <w:t xml:space="preserve">US domestic implication: Congressional war powers debate; potential for largest US military engagement since Iraq War.</w:t>
      </w:r>
    </w:p>
    <w:p>
      <w:pPr>
        <w:pStyle w:val="ListParagraph"/>
        <w:numPr>
          <w:ilvl w:val="0"/>
          <w:numId w:val="2"/>
        </w:numPr>
        <w:spacing w:before="40" w:after="40" w:line="276"/>
      </w:pPr>
      <w:r>
        <w:rPr>
          <w:rFonts w:ascii="Arial" w:cs="Arial" w:eastAsia="Arial" w:hAnsi="Arial"/>
          <w:color w:val="4A4A4A"/>
          <w:sz w:val="20"/>
          <w:szCs w:val="20"/>
        </w:rPr>
        <w:t xml:space="preserve">China implication: Economic pain from oil disruption increases pressure to broker diplomatic solution — potentially creating an unexpected diplomatic opening.</w:t>
      </w:r>
    </w:p>
    <w:p>
      <w:pPr>
        <w:pStyle w:val="Heading2"/>
        <w:spacing w:before="240" w:after="120"/>
      </w:pPr>
      <w:r>
        <w:rPr>
          <w:rFonts w:ascii="Arial" w:cs="Arial" w:eastAsia="Arial" w:hAnsi="Arial"/>
          <w:b/>
          <w:bCs/>
          <w:color w:val="1B3A5C"/>
          <w:sz w:val="24"/>
          <w:szCs w:val="24"/>
        </w:rPr>
        <w:t xml:space="preserve">Recommendations</w:t>
      </w:r>
    </w:p>
    <w:p>
      <w:pPr>
        <w:spacing w:before="180" w:after="80"/>
      </w:pPr>
      <w:r>
        <w:rPr>
          <w:rFonts w:ascii="Arial" w:cs="Arial" w:eastAsia="Arial" w:hAnsi="Arial"/>
          <w:b/>
          <w:bCs/>
          <w:color w:val="2E6DA4"/>
          <w:sz w:val="22"/>
          <w:szCs w:val="22"/>
        </w:rPr>
        <w:t xml:space="preserve">For Business Leaders &amp; Investors</w:t>
      </w:r>
    </w:p>
    <w:p>
      <w:pPr>
        <w:pStyle w:val="ListParagraph"/>
        <w:numPr>
          <w:ilvl w:val="0"/>
          <w:numId w:val="2"/>
        </w:numPr>
        <w:spacing w:before="40" w:after="40" w:line="276"/>
      </w:pPr>
      <w:r>
        <w:rPr>
          <w:rFonts w:ascii="Arial" w:cs="Arial" w:eastAsia="Arial" w:hAnsi="Arial"/>
          <w:color w:val="4A4A4A"/>
          <w:sz w:val="20"/>
          <w:szCs w:val="20"/>
        </w:rPr>
        <w:t xml:space="preserve">Immediate: Activate supply chain contingency plans; increase strategic inventory to 90-day buffer minimum for critical inputs.</w:t>
      </w:r>
    </w:p>
    <w:p>
      <w:pPr>
        <w:pStyle w:val="ListParagraph"/>
        <w:numPr>
          <w:ilvl w:val="0"/>
          <w:numId w:val="2"/>
        </w:numPr>
        <w:spacing w:before="40" w:after="40" w:line="276"/>
      </w:pPr>
      <w:r>
        <w:rPr>
          <w:rFonts w:ascii="Arial" w:cs="Arial" w:eastAsia="Arial" w:hAnsi="Arial"/>
          <w:color w:val="4A4A4A"/>
          <w:sz w:val="20"/>
          <w:szCs w:val="20"/>
        </w:rPr>
        <w:t xml:space="preserve">Short-term: Review insurance coverage for all Middle East operations; re-route supply chains away from Hormuz dependence where possible.</w:t>
      </w:r>
    </w:p>
    <w:p>
      <w:pPr>
        <w:pStyle w:val="ListParagraph"/>
        <w:numPr>
          <w:ilvl w:val="0"/>
          <w:numId w:val="2"/>
        </w:numPr>
        <w:spacing w:before="40" w:after="40" w:line="276"/>
      </w:pPr>
      <w:r>
        <w:rPr>
          <w:rFonts w:ascii="Arial" w:cs="Arial" w:eastAsia="Arial" w:hAnsi="Arial"/>
          <w:color w:val="4A4A4A"/>
          <w:sz w:val="20"/>
          <w:szCs w:val="20"/>
        </w:rPr>
        <w:t xml:space="preserve">Portfolio: Overweight defence, non-Hormuz energy (US shale, Norway, Canada), and gold as safe havens; underweight Gulf real estate, aviation, and EM equities.</w:t>
      </w:r>
    </w:p>
    <w:p>
      <w:pPr>
        <w:spacing w:before="180" w:after="80"/>
      </w:pPr>
      <w:r>
        <w:rPr>
          <w:rFonts w:ascii="Arial" w:cs="Arial" w:eastAsia="Arial" w:hAnsi="Arial"/>
          <w:b/>
          <w:bCs/>
          <w:color w:val="2E6DA4"/>
          <w:sz w:val="22"/>
          <w:szCs w:val="22"/>
        </w:rPr>
        <w:t xml:space="preserve">For Policymakers</w:t>
      </w:r>
    </w:p>
    <w:p>
      <w:pPr>
        <w:pStyle w:val="ListParagraph"/>
        <w:numPr>
          <w:ilvl w:val="0"/>
          <w:numId w:val="2"/>
        </w:numPr>
        <w:spacing w:before="40" w:after="40" w:line="276"/>
      </w:pPr>
      <w:r>
        <w:rPr>
          <w:rFonts w:ascii="Arial" w:cs="Arial" w:eastAsia="Arial" w:hAnsi="Arial"/>
          <w:color w:val="4A4A4A"/>
          <w:sz w:val="20"/>
          <w:szCs w:val="20"/>
        </w:rPr>
        <w:t xml:space="preserve">Immediate: Coordinate IEA Strategic Petroleum Reserve (SPR) release mechanism — pre-position for Scenario C.</w:t>
      </w:r>
    </w:p>
    <w:p>
      <w:pPr>
        <w:pStyle w:val="ListParagraph"/>
        <w:numPr>
          <w:ilvl w:val="0"/>
          <w:numId w:val="2"/>
        </w:numPr>
        <w:spacing w:before="40" w:after="40" w:line="276"/>
      </w:pPr>
      <w:r>
        <w:rPr>
          <w:rFonts w:ascii="Arial" w:cs="Arial" w:eastAsia="Arial" w:hAnsi="Arial"/>
          <w:color w:val="4A4A4A"/>
          <w:sz w:val="20"/>
          <w:szCs w:val="20"/>
        </w:rPr>
        <w:t xml:space="preserve">Diplomatic: Re-engage Omani/Swiss backchannel; explore China as potential pressure point on Iran in exchange for trade concessions.</w:t>
      </w:r>
    </w:p>
    <w:p>
      <w:pPr>
        <w:pStyle w:val="ListParagraph"/>
        <w:numPr>
          <w:ilvl w:val="0"/>
          <w:numId w:val="2"/>
        </w:numPr>
        <w:spacing w:before="40" w:after="40" w:line="276"/>
      </w:pPr>
      <w:r>
        <w:rPr>
          <w:rFonts w:ascii="Arial" w:cs="Arial" w:eastAsia="Arial" w:hAnsi="Arial"/>
          <w:color w:val="4A4A4A"/>
          <w:sz w:val="20"/>
          <w:szCs w:val="20"/>
        </w:rPr>
        <w:t xml:space="preserve">Long-term: Address structural dependency on Hormuz chokepoint through pipeline alternatives (UAE-Oman, Saudi East-West Pipeline).</w:t>
      </w:r>
    </w:p>
    <w:p>
      <w:pPr>
        <w:spacing w:before="180" w:after="80"/>
      </w:pPr>
      <w:r>
        <w:rPr>
          <w:rFonts w:ascii="Arial" w:cs="Arial" w:eastAsia="Arial" w:hAnsi="Arial"/>
          <w:b/>
          <w:bCs/>
          <w:color w:val="2E6DA4"/>
          <w:sz w:val="22"/>
          <w:szCs w:val="22"/>
        </w:rPr>
        <w:t xml:space="preserve">For Researchers &amp; Analysts</w:t>
      </w:r>
    </w:p>
    <w:p>
      <w:pPr>
        <w:pStyle w:val="ListParagraph"/>
        <w:numPr>
          <w:ilvl w:val="0"/>
          <w:numId w:val="2"/>
        </w:numPr>
        <w:spacing w:before="40" w:after="40" w:line="276"/>
      </w:pPr>
      <w:r>
        <w:rPr>
          <w:rFonts w:ascii="Arial" w:cs="Arial" w:eastAsia="Arial" w:hAnsi="Arial"/>
          <w:color w:val="4A4A4A"/>
          <w:sz w:val="20"/>
          <w:szCs w:val="20"/>
        </w:rPr>
        <w:t xml:space="preserve">Data gaps requiring urgent attention: Khamenei status verification; Iranian nuclear programme continuity assessment; IRGC succession structure; undisclosed nuclear site locations.</w:t>
      </w:r>
    </w:p>
    <w:p>
      <w:pPr>
        <w:pStyle w:val="ListParagraph"/>
        <w:numPr>
          <w:ilvl w:val="0"/>
          <w:numId w:val="2"/>
        </w:numPr>
        <w:spacing w:before="40" w:after="40" w:line="276"/>
      </w:pPr>
      <w:r>
        <w:rPr>
          <w:rFonts w:ascii="Arial" w:cs="Arial" w:eastAsia="Arial" w:hAnsi="Arial"/>
          <w:color w:val="4A4A4A"/>
          <w:sz w:val="20"/>
          <w:szCs w:val="20"/>
        </w:rPr>
        <w:t xml:space="preserve">Watch indicators: IAEA access negotiations; Iranian rial black market rate (hyperinflation signal); shipping insurance rate trends (Hormuz risk signal); US Congressional war authorisation debate.</w:t>
      </w:r>
    </w:p>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CONCLUSION: KEY TAKEAWAYS</w:t>
      </w:r>
    </w:p>
    <w:p>
      <w:pPr>
        <w:pStyle w:val="Heading2"/>
        <w:spacing w:before="240" w:after="120"/>
      </w:pPr>
      <w:r>
        <w:rPr>
          <w:rFonts w:ascii="Arial" w:cs="Arial" w:eastAsia="Arial" w:hAnsi="Arial"/>
          <w:b/>
          <w:bCs/>
          <w:color w:val="1B3A5C"/>
          <w:sz w:val="24"/>
          <w:szCs w:val="24"/>
        </w:rPr>
        <w:t xml:space="preserve">Three Most Important Facts</w:t>
      </w:r>
    </w:p>
    <w:p>
      <w:pPr>
        <w:shd w:fill="C0392B" w:val="clear"/>
        <w:spacing w:before="80" w:after="80"/>
        <w:ind w:left="200" w:right="200"/>
      </w:pPr>
      <w:r>
        <w:rPr>
          <w:rFonts w:ascii="Arial" w:cs="Arial" w:eastAsia="Arial" w:hAnsi="Arial"/>
          <w:b/>
          <w:bCs/>
          <w:color w:val="FFFFFF"/>
          <w:sz w:val="20"/>
          <w:szCs w:val="20"/>
        </w:rPr>
        <w:t xml:space="preserve">FACT 1: </w:t>
      </w:r>
      <w:r>
        <w:rPr>
          <w:rFonts w:ascii="Arial" w:cs="Arial" w:eastAsia="Arial" w:hAnsi="Arial"/>
          <w:color w:val="FFFFFF"/>
          <w:sz w:val="20"/>
          <w:szCs w:val="20"/>
        </w:rPr>
        <w:t xml:space="preserve">The conflict has crossed a qualitative threshold — from deterrence competition to active regime-change war. This structural shift makes traditional ceasefire diplomacy harder and Iranian proxy retaliation more extensive and durable.</w:t>
      </w:r>
    </w:p>
    <w:p>
      <w:pPr>
        <w:spacing w:before="40" w:after="40"/>
      </w:pPr>
    </w:p>
    <w:p>
      <w:pPr>
        <w:shd w:fill="1B3A5C" w:val="clear"/>
        <w:spacing w:before="80" w:after="80"/>
        <w:ind w:left="200" w:right="200"/>
      </w:pPr>
      <w:r>
        <w:rPr>
          <w:rFonts w:ascii="Arial" w:cs="Arial" w:eastAsia="Arial" w:hAnsi="Arial"/>
          <w:b/>
          <w:bCs/>
          <w:color w:val="FFFFFF"/>
          <w:sz w:val="20"/>
          <w:szCs w:val="20"/>
        </w:rPr>
        <w:t xml:space="preserve">FACT 2: </w:t>
      </w:r>
      <w:r>
        <w:rPr>
          <w:rFonts w:ascii="Arial" w:cs="Arial" w:eastAsia="Arial" w:hAnsi="Arial"/>
          <w:color w:val="FFFFFF"/>
          <w:sz w:val="20"/>
          <w:szCs w:val="20"/>
        </w:rPr>
        <w:t xml:space="preserve">The Strait of Hormuz chokepoint risk is real and partially active. Even partial disruption is generating measurable global supply chain and inflation effects. Full closure would be the most economically significant single event since the 2008 financial crisis.</w:t>
      </w:r>
    </w:p>
    <w:p>
      <w:pPr>
        <w:spacing w:before="40" w:after="40"/>
      </w:pPr>
    </w:p>
    <w:p>
      <w:pPr>
        <w:shd w:fill="0D1B2A" w:val="clear"/>
        <w:spacing w:before="80" w:after="80"/>
        <w:ind w:left="200" w:right="200"/>
      </w:pPr>
      <w:r>
        <w:rPr>
          <w:rFonts w:ascii="Arial" w:cs="Arial" w:eastAsia="Arial" w:hAnsi="Arial"/>
          <w:b/>
          <w:bCs/>
          <w:color w:val="FFFFFF"/>
          <w:sz w:val="20"/>
          <w:szCs w:val="20"/>
        </w:rPr>
        <w:t xml:space="preserve">FACT 3: </w:t>
      </w:r>
      <w:r>
        <w:rPr>
          <w:rFonts w:ascii="Arial" w:cs="Arial" w:eastAsia="Arial" w:hAnsi="Arial"/>
          <w:color w:val="FFFFFF"/>
          <w:sz w:val="20"/>
          <w:szCs w:val="20"/>
        </w:rPr>
        <w:t xml:space="preserve">The humanitarian cost extends far beyond direct combatants. 500,000+ stranded migrant workers, $65bn+ in severed remittances, and food price inflation of 125-150% in Iran represent a mounting civilian crisis that is underreported relative to the military dimension.</w:t>
      </w:r>
    </w:p>
    <w:p>
      <w:pPr>
        <w:spacing w:before="80" w:after="80"/>
      </w:pPr>
    </w:p>
    <w:p>
      <w:pPr>
        <w:pStyle w:val="Heading2"/>
        <w:spacing w:before="240" w:after="120"/>
      </w:pPr>
      <w:r>
        <w:rPr>
          <w:rFonts w:ascii="Arial" w:cs="Arial" w:eastAsia="Arial" w:hAnsi="Arial"/>
          <w:b/>
          <w:bCs/>
          <w:color w:val="1B3A5C"/>
          <w:sz w:val="24"/>
          <w:szCs w:val="24"/>
        </w:rPr>
        <w:t xml:space="preserve">Three Most Important Uncertainties</w:t>
      </w:r>
    </w:p>
    <w:p>
      <w:pPr>
        <w:pStyle w:val="ListParagraph"/>
        <w:numPr>
          <w:ilvl w:val="0"/>
          <w:numId w:val="2"/>
        </w:numPr>
        <w:spacing w:before="40" w:after="40" w:line="276"/>
      </w:pPr>
      <w:r>
        <w:rPr>
          <w:rFonts w:ascii="Arial" w:cs="Arial" w:eastAsia="Arial" w:hAnsi="Arial"/>
          <w:color w:val="4A4A4A"/>
          <w:sz w:val="20"/>
          <w:szCs w:val="20"/>
        </w:rPr>
        <w:t xml:space="preserve">UNCERTAINTY 1: Khamenei's status — confirmed death would reshape Iranian governance, IRGC chain of command, and the range of possible diplomatic outcomes. All Phase 3 analysis is contingent on this determination.</w:t>
      </w:r>
    </w:p>
    <w:p>
      <w:pPr>
        <w:pStyle w:val="ListParagraph"/>
        <w:numPr>
          <w:ilvl w:val="0"/>
          <w:numId w:val="2"/>
        </w:numPr>
        <w:spacing w:before="40" w:after="40" w:line="276"/>
      </w:pPr>
      <w:r>
        <w:rPr>
          <w:rFonts w:ascii="Arial" w:cs="Arial" w:eastAsia="Arial" w:hAnsi="Arial"/>
          <w:color w:val="4A4A4A"/>
          <w:sz w:val="20"/>
          <w:szCs w:val="20"/>
        </w:rPr>
        <w:t xml:space="preserve">UNCERTAINTY 2: Iran's nuclear programme continuity — whether Isfahan centrifuge damage has delayed or ended Iranian enrichment capability determines whether the conflict's stated objective has been achieved, and whether a credible ceasefire can be constructed.</w:t>
      </w:r>
    </w:p>
    <w:p>
      <w:pPr>
        <w:pStyle w:val="ListParagraph"/>
        <w:numPr>
          <w:ilvl w:val="0"/>
          <w:numId w:val="2"/>
        </w:numPr>
        <w:spacing w:before="40" w:after="40" w:line="276"/>
      </w:pPr>
      <w:r>
        <w:rPr>
          <w:rFonts w:ascii="Arial" w:cs="Arial" w:eastAsia="Arial" w:hAnsi="Arial"/>
          <w:color w:val="4A4A4A"/>
          <w:sz w:val="20"/>
          <w:szCs w:val="20"/>
        </w:rPr>
        <w:t xml:space="preserve">UNCERTAINTY 3: IRGC internal cohesion and succession — a power struggle within Iran's security establishment could either accelerate de-escalation (moderates) or produce dangerous autonomous action (hardliners) without central political direction.</w:t>
      </w:r>
    </w:p>
    <w:p>
      <w:pPr>
        <w:spacing w:before="80" w:after="80"/>
      </w:pPr>
    </w:p>
    <w:p>
      <w:pPr>
        <w:pStyle w:val="Heading2"/>
        <w:spacing w:before="240" w:after="120"/>
      </w:pPr>
      <w:r>
        <w:rPr>
          <w:rFonts w:ascii="Arial" w:cs="Arial" w:eastAsia="Arial" w:hAnsi="Arial"/>
          <w:b/>
          <w:bCs/>
          <w:color w:val="1B3A5C"/>
          <w:sz w:val="24"/>
          <w:szCs w:val="24"/>
        </w:rPr>
        <w:t xml:space="preserve">Final Assessment</w:t>
      </w:r>
    </w:p>
    <w:p>
      <w:pPr>
        <w:spacing w:before="60" w:after="100" w:line="276"/>
        <w:jc w:val="both"/>
      </w:pPr>
      <w:r>
        <w:rPr>
          <w:rFonts w:ascii="Arial" w:cs="Arial" w:eastAsia="Arial" w:hAnsi="Arial"/>
          <w:b w:val="false"/>
          <w:bCs w:val="false"/>
          <w:i w:val="false"/>
          <w:iCs w:val="false"/>
          <w:color w:val="4A4A4A"/>
          <w:sz w:val="20"/>
          <w:szCs w:val="20"/>
        </w:rPr>
        <w:t xml:space="preserve">The Iran-Israel-US conflict of 2023-2026 represents the most significant rupture in Middle Eastern security architecture since the 1973 Arab-Israeli War. Unlike that conflict, this one is characterised by the active involvement of a global superpower in a regime-change operation, the use of advanced precision strike systems against hardened nuclear infrastructure, the activation of a sophisticated proxy network across six countries simultaneously, and the weaponisation of the world's most critical oil transit chokepoint.</w:t>
      </w:r>
    </w:p>
    <w:p>
      <w:pPr>
        <w:spacing w:before="60" w:after="100" w:line="276"/>
        <w:jc w:val="both"/>
      </w:pPr>
      <w:r>
        <w:rPr>
          <w:rFonts w:ascii="Arial" w:cs="Arial" w:eastAsia="Arial" w:hAnsi="Arial"/>
          <w:b w:val="false"/>
          <w:bCs w:val="false"/>
          <w:i w:val="false"/>
          <w:iCs w:val="false"/>
          <w:color w:val="4A4A4A"/>
          <w:sz w:val="20"/>
          <w:szCs w:val="20"/>
        </w:rPr>
        <w:t xml:space="preserve">The Peace Index stands at zero. Diplomatic space has been exhausted by the combination of irreconcilable stated objectives (Israeli security + Iranian sovereignty + US non-proliferation) and the structural failure of the multilateral order to enforce ceasefire. The most likely near-term outcome (Scenario B, 50% probability) is sustained stalemate — costly, dangerous, and economically damaging for the global economy — with the regime-change objective either partially achieved (if Khamenei confirmed dead and successor more pragmatic) or creating a prolonged governance vacuum that generates new and less predictable security threats.</w:t>
      </w:r>
    </w:p>
    <w:p>
      <w:pPr>
        <w:spacing w:before="60" w:after="100" w:line="276"/>
        <w:jc w:val="both"/>
      </w:pPr>
      <w:r>
        <w:rPr>
          <w:rFonts w:ascii="Arial" w:cs="Arial" w:eastAsia="Arial" w:hAnsi="Arial"/>
          <w:b w:val="false"/>
          <w:bCs w:val="false"/>
          <w:i w:val="false"/>
          <w:iCs w:val="false"/>
          <w:color w:val="4A4A4A"/>
          <w:sz w:val="20"/>
          <w:szCs w:val="20"/>
        </w:rPr>
        <w:t xml:space="preserve">History's verdict on the critical decision points — the consulate strike of April 2024, the pre-emptive war of June 2025, and the regime-change operation of February 2026 — will depend heavily on outcomes not yet determined. This analysis, anchored in open-source evidence as of 04 March 2026, records the facts as they are known, the uncertainties as they stand, and the range of futures that remain possible.</w:t>
      </w:r>
    </w:p>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METHODOLOGY &amp; SOURCE NOTES</w:t>
      </w:r>
    </w:p>
    <w:p>
      <w:pPr>
        <w:pStyle w:val="Heading2"/>
        <w:spacing w:before="240" w:after="120"/>
      </w:pPr>
      <w:r>
        <w:rPr>
          <w:rFonts w:ascii="Arial" w:cs="Arial" w:eastAsia="Arial" w:hAnsi="Arial"/>
          <w:b/>
          <w:bCs/>
          <w:color w:val="1B3A5C"/>
          <w:sz w:val="24"/>
          <w:szCs w:val="24"/>
        </w:rPr>
        <w:t xml:space="preserve">Data Collection</w:t>
      </w:r>
    </w:p>
    <w:p>
      <w:pPr>
        <w:spacing w:before="60" w:after="100" w:line="276"/>
        <w:jc w:val="both"/>
      </w:pPr>
      <w:r>
        <w:rPr>
          <w:rFonts w:ascii="Arial" w:cs="Arial" w:eastAsia="Arial" w:hAnsi="Arial"/>
          <w:b w:val="false"/>
          <w:bCs w:val="false"/>
          <w:i w:val="false"/>
          <w:iCs w:val="false"/>
          <w:color w:val="4A4A4A"/>
          <w:sz w:val="20"/>
          <w:szCs w:val="20"/>
        </w:rPr>
        <w:t xml:space="preserve">This report is based on the Iran_Israel_US_Conflict_OSINT_Dataset_Mar2026.xlsx — a structured dataset comprising 20+ analytical sheets and 500+ data rows, compiled over an intensive research period using exclusively open-source materials. Data sources include: wire services (Reuters, AP, AFP), broadcast media (BBC, Al Jazeera, CNN), official government statements (US DoD, IDF Spokesperson, IRGC official channels), UN agency reports (OCHA, UNHCR, FAO, IAEA), human rights organisations (HRANA, Amnesty International, Human Rights Watch), financial data (Bloomberg, EIA, Freightos, Lloyd's), and OSINT community analysis (Bellingcat, UNOSAT, Recorded Future, Graphika).</w:t>
      </w:r>
    </w:p>
    <w:p>
      <w:pPr>
        <w:pStyle w:val="Heading2"/>
        <w:spacing w:before="240" w:after="120"/>
      </w:pPr>
      <w:r>
        <w:rPr>
          <w:rFonts w:ascii="Arial" w:cs="Arial" w:eastAsia="Arial" w:hAnsi="Arial"/>
          <w:b/>
          <w:bCs/>
          <w:color w:val="1B3A5C"/>
          <w:sz w:val="24"/>
          <w:szCs w:val="24"/>
        </w:rPr>
        <w:t xml:space="preserve">Verification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00"/>
        <w:gridCol w:w="3060"/>
      </w:tblGrid>
      <w:tr>
        <w:trPr>
          <w:tblHeader/>
        </w:trPr>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w:t>
            </w:r>
          </w:p>
        </w:tc>
        <w:tc>
          <w:tcPr>
            <w:tcW w:type="dxa" w:w="3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CRITERIA</w:t>
            </w:r>
          </w:p>
        </w:tc>
        <w:tc>
          <w:tcPr>
            <w:tcW w:type="dxa" w:w="30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PROPORTION OF DATA</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CONFIRMED</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Corroborated by 3+ independent, high-quality sources; official acknowledgement</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~40%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PARTIALLY CONFIRMED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 independent sources; no official denial; internally consistent</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~35%</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UNCONFIRMED</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Single source; plausible but unverified; flagged in S9</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DISPUTED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Conflicting information from credible sources; both versions presented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~10%</w:t>
            </w:r>
          </w:p>
        </w:tc>
      </w:tr>
    </w:tbl>
    <w:p>
      <w:pPr>
        <w:pStyle w:val="Heading2"/>
        <w:spacing w:before="240" w:after="120"/>
      </w:pPr>
      <w:r>
        <w:rPr>
          <w:rFonts w:ascii="Arial" w:cs="Arial" w:eastAsia="Arial" w:hAnsi="Arial"/>
          <w:b/>
          <w:bCs/>
          <w:color w:val="1B3A5C"/>
          <w:sz w:val="24"/>
          <w:szCs w:val="24"/>
        </w:rPr>
        <w:t xml:space="preserve">Confidence Levels for Quantitative Estimates</w:t>
      </w:r>
    </w:p>
    <w:p>
      <w:pPr>
        <w:pStyle w:val="ListParagraph"/>
        <w:numPr>
          <w:ilvl w:val="0"/>
          <w:numId w:val="2"/>
        </w:numPr>
        <w:spacing w:before="40" w:after="40" w:line="276"/>
      </w:pPr>
      <w:r>
        <w:rPr>
          <w:rFonts w:ascii="Arial" w:cs="Arial" w:eastAsia="Arial" w:hAnsi="Arial"/>
          <w:color w:val="4A4A4A"/>
          <w:sz w:val="20"/>
          <w:szCs w:val="20"/>
        </w:rPr>
        <w:t xml:space="preserve">HIGH CONFIDENCE: Figures corroborated by multiple independent quantitative sources (financial market data, UN agency reports, official military acknowledgements).</w:t>
      </w:r>
    </w:p>
    <w:p>
      <w:pPr>
        <w:pStyle w:val="ListParagraph"/>
        <w:numPr>
          <w:ilvl w:val="0"/>
          <w:numId w:val="2"/>
        </w:numPr>
        <w:spacing w:before="40" w:after="40" w:line="276"/>
      </w:pPr>
      <w:r>
        <w:rPr>
          <w:rFonts w:ascii="Arial" w:cs="Arial" w:eastAsia="Arial" w:hAnsi="Arial"/>
          <w:color w:val="4A4A4A"/>
          <w:sz w:val="20"/>
          <w:szCs w:val="20"/>
        </w:rPr>
        <w:t xml:space="preserve">MEDIUM CONFIDENCE: Estimates from single credible source or derived by inference from confirmed data; ranges provided.</w:t>
      </w:r>
    </w:p>
    <w:p>
      <w:pPr>
        <w:pStyle w:val="ListParagraph"/>
        <w:numPr>
          <w:ilvl w:val="0"/>
          <w:numId w:val="2"/>
        </w:numPr>
        <w:spacing w:before="40" w:after="40" w:line="276"/>
      </w:pPr>
      <w:r>
        <w:rPr>
          <w:rFonts w:ascii="Arial" w:cs="Arial" w:eastAsia="Arial" w:hAnsi="Arial"/>
          <w:color w:val="4A4A4A"/>
          <w:sz w:val="20"/>
          <w:szCs w:val="20"/>
        </w:rPr>
        <w:t xml:space="preserve">LOW CONFIDENCE: Highly contested figures; significant methodological limitations in underlying data; single source with potential bias (e.g., Iranian government official figures on military losses).</w:t>
      </w:r>
    </w:p>
    <w:p>
      <w:pPr>
        <w:pStyle w:val="Heading2"/>
        <w:spacing w:before="240" w:after="120"/>
      </w:pPr>
      <w:r>
        <w:rPr>
          <w:rFonts w:ascii="Arial" w:cs="Arial" w:eastAsia="Arial" w:hAnsi="Arial"/>
          <w:b/>
          <w:bCs/>
          <w:color w:val="1B3A5C"/>
          <w:sz w:val="24"/>
          <w:szCs w:val="24"/>
        </w:rPr>
        <w:t xml:space="preserve">Bias Mitigation (S20 — Bias Check Matrix)</w:t>
      </w:r>
    </w:p>
    <w:p>
      <w:pPr>
        <w:spacing w:before="60" w:after="100" w:line="276"/>
        <w:jc w:val="both"/>
      </w:pPr>
      <w:r>
        <w:rPr>
          <w:rFonts w:ascii="Arial" w:cs="Arial" w:eastAsia="Arial" w:hAnsi="Arial"/>
          <w:b w:val="false"/>
          <w:bCs w:val="false"/>
          <w:i w:val="false"/>
          <w:iCs w:val="false"/>
          <w:color w:val="4A4A4A"/>
          <w:sz w:val="20"/>
          <w:szCs w:val="20"/>
        </w:rPr>
        <w:t xml:space="preserve">This report incorporates a Bias Check Matrix (Sheet S20) as an explicit quality control mechanism — an approach inspired by Bellingcat and Graphika OSINT methodologies. Eight potential bias areas were identified and audited, including: Israeli vs. Iranian casualty framing; the 'pre-emptive vs. aggressive' characterisation of US/Israeli actions; over-reliance on Western sources; and the treatment of Iranian civilian economic pain relative to Western corporate disruption. Where bias risk was identified as HIGH, additional counter-evidence was incorporated and the framing was reviewed. The goal is not value-neutral analysis — values underlie all analytical choices — but transparent, reproducible, and evidence-anchored analysis that acknowledges its own limitations.</w:t>
      </w:r>
    </w:p>
    <w:p>
      <w:pPr>
        <w:spacing w:before="80" w:after="80"/>
      </w:pPr>
    </w:p>
    <w:p>
      <w:r>
        <w:br w:type="page"/>
      </w:r>
    </w:p>
    <w:p>
      <w:pPr>
        <w:pStyle w:val="Heading1"/>
        <w:pBdr>
          <w:bottom w:val="single" w:color="C9A84C" w:sz="8" w:space="2"/>
        </w:pBdr>
        <w:spacing w:before="300" w:after="160"/>
      </w:pPr>
      <w:r>
        <w:rPr>
          <w:rFonts w:ascii="Arial" w:cs="Arial" w:eastAsia="Arial" w:hAnsi="Arial"/>
          <w:b/>
          <w:bCs/>
          <w:color w:val="0D1B2A"/>
          <w:sz w:val="28"/>
          <w:szCs w:val="28"/>
        </w:rPr>
        <w:t xml:space="preserve">APPENDIX: QUICK REFERENCE TABLES</w:t>
      </w:r>
    </w:p>
    <w:p>
      <w:pPr>
        <w:pStyle w:val="Heading2"/>
        <w:spacing w:before="240" w:after="120"/>
      </w:pPr>
      <w:r>
        <w:rPr>
          <w:rFonts w:ascii="Arial" w:cs="Arial" w:eastAsia="Arial" w:hAnsi="Arial"/>
          <w:b/>
          <w:bCs/>
          <w:color w:val="1B3A5C"/>
          <w:sz w:val="24"/>
          <w:szCs w:val="24"/>
        </w:rPr>
        <w:t xml:space="preserve">A1 — Casualty Summary (All Phases)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2000"/>
        <w:gridCol w:w="20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MILITARY KIA</w:t>
            </w:r>
          </w:p>
        </w:tc>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CIVILIAN KIA</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(APPROX.)</w:t>
            </w:r>
          </w:p>
        </w:tc>
        <w:tc>
          <w:tcPr>
            <w:tcW w:type="dxa" w:w="20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CONFIDENCE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Israel (all phases)</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~80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~1,200+ (Oct 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~1,280+</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Palestinians (Gaza)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Contested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~45,000+ (Jul 2024)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Iran (military/IRGC)</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~1,800+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~177+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~1,977+</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Medium (HRANA)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Lebanon (all groups)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~500+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~180+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~680+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Yemen (Houthi + civilian)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~150+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~85+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~235+</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USA (military)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~29</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Gulf States (civilian)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~51+</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~51+</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Medium</w:t>
            </w:r>
          </w:p>
        </w:tc>
      </w:tr>
    </w:tbl>
    <w:p>
      <w:pPr>
        <w:spacing w:before="80" w:after="80"/>
      </w:pPr>
    </w:p>
    <w:p>
      <w:pPr>
        <w:pStyle w:val="Heading2"/>
        <w:spacing w:before="240" w:after="120"/>
      </w:pPr>
      <w:r>
        <w:rPr>
          <w:rFonts w:ascii="Arial" w:cs="Arial" w:eastAsia="Arial" w:hAnsi="Arial"/>
          <w:b/>
          <w:bCs/>
          <w:color w:val="1B3A5C"/>
          <w:sz w:val="24"/>
          <w:szCs w:val="24"/>
        </w:rPr>
        <w:t xml:space="preserve">A2 — Key Attacks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200"/>
        <w:gridCol w:w="2000"/>
        <w:gridCol w:w="24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EVENT</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2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CASUALTIES (EST.)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2023-10-07</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Hamas mass attack on Israel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Hamas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Israeli civilians/military</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~1,200 killed; 251 hostages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2024-04-01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Consulate strike, Damascus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Israel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Iranian diplomatic premises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 IRGC generals killed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2024-04-13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Operation True Promise 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Iran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Israeli territory (intercepted)</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Minimal (99% intercepted)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2025-06-13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Operation Rising Lion (12-Day War)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Israel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Iran nuclear/military</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~800+ Iranian KIA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2026-02-28</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Operation Final Account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USA/Israel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Iran nuclear/IRGC/leadership</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~1,120+ Iranian KIA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2026-03-01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Hormuz mining + Hezbollah activation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Iran/Hezbollah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Shipping; Northern Israel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41 Israeli KIA; global shipping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2026-03-03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US naval strike on IRGC vessels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USA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12 IRGC ships, Hormuz</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Classified; shipping partially restored</w:t>
            </w:r>
          </w:p>
        </w:tc>
      </w:tr>
    </w:tbl>
    <w:p>
      <w:pPr>
        <w:spacing w:before="80" w:after="80"/>
      </w:pPr>
    </w:p>
    <w:p>
      <w:pPr>
        <w:pStyle w:val="Heading2"/>
        <w:spacing w:before="240" w:after="120"/>
      </w:pPr>
      <w:r>
        <w:rPr>
          <w:rFonts w:ascii="Arial" w:cs="Arial" w:eastAsia="Arial" w:hAnsi="Arial"/>
          <w:b/>
          <w:bCs/>
          <w:color w:val="1B3A5C"/>
          <w:sz w:val="24"/>
          <w:szCs w:val="24"/>
        </w:rPr>
        <w:t xml:space="preserve">A3 — Market Impact Summary (04 Mar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200"/>
        <w:gridCol w:w="3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PRE-CONFLICT</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c>
          <w:tcPr>
            <w:tcW w:type="dxa" w:w="3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Brent Crude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$72.5/bbl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$82.3/bbl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+13.5%</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Risk premium $15/bbl; $90-100 in stalemate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Gold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$2,650/oz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$2,950/oz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+11.3%</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Safe-haven demand; $3,000 target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Freight Index (FBX)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2,100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2,840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+35.2%</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Supply chain re-routing cost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THAAD Interceptors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-25%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Strategic constraint; multi-theatre risk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TA-35 (Israel)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1,980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1,540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-22.2%</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Capital flight; requires ceasefire to recover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USD/IRR (Black Mkt)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550,000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950,000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-42% (IRR)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Hyperinflation risk in Iran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War Insurance (VLCC)</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$50k/transit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$250k-$1M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+400-1,900%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Trade cost inflation globally</w:t>
            </w:r>
          </w:p>
        </w:tc>
      </w:tr>
    </w:tbl>
    <w:p>
      <w:pPr>
        <w:spacing w:before="80" w:after="80"/>
      </w:pPr>
    </w:p>
    <w:p>
      <w:pPr>
        <w:pStyle w:val="Heading2"/>
        <w:spacing w:before="240" w:after="120"/>
      </w:pPr>
      <w:r>
        <w:rPr>
          <w:rFonts w:ascii="Arial" w:cs="Arial" w:eastAsia="Arial" w:hAnsi="Arial"/>
          <w:b/>
          <w:bCs/>
          <w:color w:val="1B3A5C"/>
          <w:sz w:val="24"/>
          <w:szCs w:val="24"/>
        </w:rPr>
        <w:t xml:space="preserve">A4 — Decision Points &amp; Alternative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POINT</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CHOICE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ALTERNATIVE</w:t>
            </w:r>
          </w:p>
        </w:tc>
        <w:tc>
          <w:tcPr>
            <w:tcW w:type="dxa" w:w="2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PROBABILITY OF BETTER OUTCOME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Gaza Campaign Scale (Oct 2023)</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Full invasion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Limited + hostage-focused</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High — fewer casualties, less escalation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Consulate Strike (Apr 2024)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Struck IRGC in consulate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Avoid diplomatic premises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High — no legal casus belli for Iran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Operation Rising Lion (Jun 2025)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Pre-emptive full war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Covert/cyber campaign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Medium — nuclear delay; lower escalation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4A4A4A"/>
                <w:sz w:val="18"/>
                <w:szCs w:val="18"/>
              </w:rPr>
              <w:t xml:space="preserve">Doha Agreement Terms (Jun 2025)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Ceasefire without verification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Full IAEA + sanctions relief package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4A4A4A"/>
                <w:sz w:val="18"/>
                <w:szCs w:val="18"/>
              </w:rPr>
              <w:t xml:space="preserve">High — structural peace possible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4A4A4A"/>
                <w:sz w:val="18"/>
                <w:szCs w:val="18"/>
              </w:rPr>
              <w:t xml:space="preserve">Operation Final Account (Feb 2026)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Regime change objective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Nuclear sites only; spare leadership</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4A4A4A"/>
                <w:sz w:val="18"/>
                <w:szCs w:val="18"/>
              </w:rPr>
              <w:t xml:space="preserve">High — lower retaliation; Hormuz intact</w:t>
            </w:r>
          </w:p>
        </w:tc>
      </w:tr>
    </w:tbl>
    <w:p>
      <w:pPr>
        <w:spacing w:before="120" w:after="120"/>
      </w:pPr>
    </w:p>
    <w:p>
      <w:pPr>
        <w:pBdr>
          <w:bottom w:val="single" w:color="2E6DA4" w:sz="6" w:space="1"/>
        </w:pBdr>
        <w:spacing w:before="60" w:after="60"/>
      </w:pPr>
    </w:p>
    <w:p>
      <w:pPr>
        <w:spacing w:before="60" w:after="60"/>
      </w:pPr>
    </w:p>
    <w:p>
      <w:pPr>
        <w:spacing w:before="60" w:after="100" w:line="276"/>
        <w:jc w:val="left"/>
      </w:pPr>
      <w:r>
        <w:rPr>
          <w:rFonts w:ascii="Arial" w:cs="Arial" w:eastAsia="Arial" w:hAnsi="Arial"/>
          <w:b w:val="false"/>
          <w:bCs w:val="false"/>
          <w:i/>
          <w:iCs/>
          <w:color w:val="888888"/>
          <w:sz w:val="18"/>
          <w:szCs w:val="18"/>
        </w:rPr>
        <w:t xml:space="preserve">DISCLAIMER: This report is based on open-source intelligence (OSINT) as of 04 March 2026. Some information, particularly from Phase 3 (Feb-Mar 2026), remains preliminary and subject to change as more data becomes available. Readers are encouraged to verify critical information through primary sources. The analysis presented here does not constitute legal advice or investment recommendations. Casualty figures and military assessments carry inherent uncertainty; confidence levels are specified throughout. The author acknowledges the Bias Check Matrix (S20) limitations: bias mitigation reduces but cannot eliminate the risk of analytical bias in conflict reporting.</w:t>
      </w:r>
    </w:p>
    <w:p>
      <w:pPr>
        <w:spacing w:before="40" w:after="40"/>
      </w:pPr>
    </w:p>
    <w:p>
      <w:pPr>
        <w:spacing w:before="60" w:after="100" w:line="276"/>
        <w:jc w:val="both"/>
      </w:pPr>
      <w:r>
        <w:rPr>
          <w:rFonts w:ascii="Arial" w:cs="Arial" w:eastAsia="Arial" w:hAnsi="Arial"/>
          <w:b w:val="false"/>
          <w:bCs w:val="false"/>
          <w:i/>
          <w:iCs/>
          <w:color w:val="AAAAAA"/>
          <w:sz w:val="16"/>
          <w:szCs w:val="16"/>
        </w:rPr>
        <w:t xml:space="preserve">Dataset: Iran_Israel_US_Conflict_OSINT_Dataset_Mar2026.xlsx | Report compiled: 04 March 2026 | Version 1.0 | OSINT Classification: Open Source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360"/>
      </w:tabs>
    </w:pPr>
    <w:r>
      <w:rPr>
        <w:rFonts w:ascii="Arial" w:cs="Arial" w:eastAsia="Arial" w:hAnsi="Arial"/>
        <w:color w:val="888888"/>
        <w:sz w:val="16"/>
        <w:szCs w:val="16"/>
      </w:rPr>
      <w:t xml:space="preserve">OSINT Analysis | Iran-Israel-US Conflict | All rights reserved | For research use only		Page </w:t>
    </w:r>
    <w:r>
      <w:rPr>
        <w:rFonts w:ascii="Arial" w:cs="Arial" w:eastAsia="Arial" w:hAnsi="Arial"/>
        <w:color w:val="2E6DA4"/>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2E6DA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tabs>
        <w:tab w:val="right" w:pos="9360"/>
      </w:tabs>
    </w:pPr>
    <w:r>
      <w:rPr>
        <w:rFonts w:ascii="Arial" w:cs="Arial" w:eastAsia="Arial" w:hAnsi="Arial"/>
        <w:b/>
        <w:bCs/>
        <w:color w:val="2E6DA4"/>
        <w:sz w:val="16"/>
        <w:szCs w:val="16"/>
      </w:rPr>
      <w:t xml:space="preserve">THE THIRD GULF WAR  |  OSINT INTELLIGENCE REPORT  |  04 MAR 2026</w:t>
    </w:r>
    <w:r>
      <w:rPr>
        <w:rFonts w:ascii="Arial" w:cs="Arial" w:eastAsia="Arial" w:hAnsi="Arial"/>
        <w:color w:val="999999"/>
        <w:sz w:val="16"/>
        <w:szCs w:val="16"/>
      </w:rPr>
      <w:t xml:space="preserve">		OPEN SOURCE  |  PRELIMINARY PHASE 3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1B2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2026-03-04T09:02:55.299Z</dcterms:created>
  <dcterms:modified xsi:type="dcterms:W3CDTF">2026-03-04T09:02:55.300Z</dcterms:modified>
</cp:coreProperties>
</file>

<file path=docProps/custom.xml><?xml version="1.0" encoding="utf-8"?>
<Properties xmlns="http://schemas.openxmlformats.org/officeDocument/2006/custom-properties" xmlns:vt="http://schemas.openxmlformats.org/officeDocument/2006/docPropsVTypes"/>
</file>