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Quantium Chips Category Analytics – Final Insight Report</w:t>
      </w:r>
    </w:p>
    <w:p>
      <w:r>
        <w:t>Prepared by: Sahid Anwar</w:t>
      </w:r>
    </w:p>
    <w:p>
      <w:r>
        <w:t>Date: July 2025</w:t>
      </w:r>
    </w:p>
    <w:p>
      <w:pPr>
        <w:pStyle w:val="Heading2"/>
      </w:pPr>
      <w:r>
        <w:t>Task 1: Data Preparation and Customer Analytics</w:t>
      </w:r>
    </w:p>
    <w:p>
      <w:pPr>
        <w:pStyle w:val="Heading3"/>
      </w:pPr>
      <w:r>
        <w:t>1. Executive Summary</w:t>
      </w:r>
    </w:p>
    <w:p>
      <w:r>
        <w:t>This section presents insights derived from Quantium’s customer and transaction data for the chips category. It aims to inform strategic decisions for marketing, inventory, and pricing based on customer segmentation.</w:t>
      </w:r>
    </w:p>
    <w:p>
      <w:pPr>
        <w:pStyle w:val="Heading3"/>
      </w:pPr>
      <w:r>
        <w:t>2. Data Preparation</w:t>
      </w:r>
    </w:p>
    <w:p>
      <w:r>
        <w:t>- Cleaned transaction data by removing null 'PROD_NAME', invalid 'TOT_SALES', and extreme 'PACK_SIZE' values.</w:t>
        <w:br/>
        <w:t>- Standardized product names to extract accurate 'BRAND' and 'PACK_SIZE'.</w:t>
        <w:br/>
        <w:t>- Merged customer data using 'LYLTY_CARD_NBR', ensuring no duplicates or nulls post-merge.</w:t>
      </w:r>
    </w:p>
    <w:p>
      <w:pPr>
        <w:pStyle w:val="Heading3"/>
      </w:pPr>
      <w:r>
        <w:t>3. Key Metrics Evaluated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Total Sales</w:t>
            </w:r>
          </w:p>
        </w:tc>
        <w:tc>
          <w:tcPr>
            <w:tcW w:type="dxa" w:w="4320"/>
          </w:tcPr>
          <w:p>
            <w:r>
              <w:t>Overall $ sales per segment</w:t>
            </w:r>
          </w:p>
        </w:tc>
      </w:tr>
      <w:tr>
        <w:tc>
          <w:tcPr>
            <w:tcW w:type="dxa" w:w="4320"/>
          </w:tcPr>
          <w:p>
            <w:r>
              <w:t>Total Quantity</w:t>
            </w:r>
          </w:p>
        </w:tc>
        <w:tc>
          <w:tcPr>
            <w:tcW w:type="dxa" w:w="4320"/>
          </w:tcPr>
          <w:p>
            <w:r>
              <w:t>Number of chip packets purchased</w:t>
            </w:r>
          </w:p>
        </w:tc>
      </w:tr>
      <w:tr>
        <w:tc>
          <w:tcPr>
            <w:tcW w:type="dxa" w:w="4320"/>
          </w:tcPr>
          <w:p>
            <w:r>
              <w:t>Number of Customers</w:t>
            </w:r>
          </w:p>
        </w:tc>
        <w:tc>
          <w:tcPr>
            <w:tcW w:type="dxa" w:w="4320"/>
          </w:tcPr>
          <w:p>
            <w:r>
              <w:t>Unique customers per segment</w:t>
            </w:r>
          </w:p>
        </w:tc>
      </w:tr>
      <w:tr>
        <w:tc>
          <w:tcPr>
            <w:tcW w:type="dxa" w:w="4320"/>
          </w:tcPr>
          <w:p>
            <w:r>
              <w:t>Avg. Sales per Customer</w:t>
            </w:r>
          </w:p>
        </w:tc>
        <w:tc>
          <w:tcPr>
            <w:tcW w:type="dxa" w:w="4320"/>
          </w:tcPr>
          <w:p>
            <w:r>
              <w:t>Spend per customer across all segments</w:t>
            </w:r>
          </w:p>
        </w:tc>
      </w:tr>
    </w:tbl>
    <w:p>
      <w:pPr>
        <w:pStyle w:val="Heading3"/>
      </w:pPr>
      <w:r>
        <w:t>4. Segment Insights</w:t>
      </w:r>
    </w:p>
    <w:p>
      <w:r>
        <w:t>- OLDER FAMILIES – BUDGET:</w:t>
        <w:br/>
        <w:t xml:space="preserve">  - Contributed the highest chip sales.</w:t>
        <w:br/>
        <w:t xml:space="preserve">  - Represent a large proportion of buyers, indicating volume-driven growth.</w:t>
        <w:br/>
        <w:t>- YOUNG SINGLES/COUPLES – PREMIUM:</w:t>
        <w:br/>
        <w:t xml:space="preserve">  - Highest spend per basket.</w:t>
        <w:br/>
        <w:t xml:space="preserve">  - Opportunity for premium upselling.</w:t>
      </w:r>
    </w:p>
    <w:p>
      <w:pPr>
        <w:pStyle w:val="Heading3"/>
      </w:pPr>
      <w:r>
        <w:t>5. Key Trends Identified</w:t>
      </w:r>
    </w:p>
    <w:p>
      <w:r>
        <w:t>- Budget customers are more frequent buyers.</w:t>
        <w:br/>
        <w:t>- Premium customers purchase fewer but more expensive products.</w:t>
        <w:br/>
        <w:t>- Larger pack sizes are more popular among families.</w:t>
      </w:r>
    </w:p>
    <w:p>
      <w:pPr>
        <w:pStyle w:val="Heading3"/>
      </w:pPr>
      <w:r>
        <w:t>6. Recommendations</w:t>
      </w:r>
    </w:p>
    <w:p>
      <w:r>
        <w:t>- Target high-volume segments (e.g., older families) with multi-pack offers.</w:t>
        <w:br/>
        <w:t>- Launch premium product marketing for high-value customers.</w:t>
        <w:br/>
        <w:t>- Develop segment-specific promotions using LIFESTAGE and PREMIUM segmentation.</w:t>
      </w:r>
    </w:p>
    <w:p>
      <w:pPr>
        <w:pStyle w:val="Heading2"/>
      </w:pPr>
      <w:r>
        <w:t>Task 2: Experimentation and Uplift Testing</w:t>
      </w:r>
    </w:p>
    <w:p>
      <w:pPr>
        <w:pStyle w:val="Heading3"/>
      </w:pPr>
      <w:r>
        <w:t>1. Objective</w:t>
      </w:r>
    </w:p>
    <w:p>
      <w:r>
        <w:t>To evaluate the impact of new trial layouts introduced in stores 77, 86, and 88 by comparing their performance with control stores.</w:t>
      </w:r>
    </w:p>
    <w:p>
      <w:pPr>
        <w:pStyle w:val="Heading3"/>
      </w:pPr>
      <w:r>
        <w:t>2. Control Store Selection</w:t>
      </w:r>
    </w:p>
    <w:p>
      <w:r>
        <w:t>- Control stores were selected based on sales correlation and trend similarity.</w:t>
        <w:br/>
        <w:t>- Pearson correlation and magnitude distance metrics were used.</w:t>
        <w:br/>
        <w:t>- Control stores closely mirrored trial stores' sales before the trial period.</w:t>
      </w:r>
    </w:p>
    <w:p>
      <w:pPr>
        <w:pStyle w:val="Heading3"/>
      </w:pPr>
      <w:r>
        <w:t>3. Trial Analysis</w:t>
      </w:r>
    </w:p>
    <w:p>
      <w:r>
        <w:t>- Trial stores showed an uplift of 10–15% in total sales compared to their controls.</w:t>
        <w:br/>
        <w:t>- Seasonality and trend-adjusted comparisons confirmed the uplift.</w:t>
        <w:br/>
        <w:t>- Sales uplift was driven by increased transactions and customer engagement.</w:t>
      </w:r>
    </w:p>
    <w:p>
      <w:pPr>
        <w:pStyle w:val="Heading3"/>
      </w:pPr>
      <w:r>
        <w:t>4. Recommendation</w:t>
      </w:r>
    </w:p>
    <w:p>
      <w:r>
        <w:t>- Scale up the successful trial layouts to other stores with similar customer demographics.</w:t>
        <w:br/>
        <w:t>- Continue monitoring KPIs to ensure sustained performance.</w:t>
        <w:br/>
        <w:t>- Combine layout changes with targeted promotions for maximum effect.</w:t>
      </w:r>
    </w:p>
    <w:p>
      <w:pPr>
        <w:pStyle w:val="Heading2"/>
      </w:pPr>
      <w:r>
        <w:t>Task 3: Commercial Application and Reporting</w:t>
      </w:r>
    </w:p>
    <w:p>
      <w:pPr>
        <w:pStyle w:val="Heading3"/>
      </w:pPr>
      <w:r>
        <w:t>1. Purpose</w:t>
      </w:r>
    </w:p>
    <w:p>
      <w:r>
        <w:t>To communicate actionable insights from Tasks 1 and 2 to Julia, the Category Manager, in a client-ready format using the Pyramid Principle.</w:t>
      </w:r>
    </w:p>
    <w:p>
      <w:pPr>
        <w:pStyle w:val="Heading3"/>
      </w:pPr>
      <w:r>
        <w:t>2. Report Components</w:t>
      </w:r>
    </w:p>
    <w:p>
      <w:r>
        <w:t>- Executive Summary and Key Insights</w:t>
        <w:br/>
        <w:t>- Data Visualizations (Charts, Tables, Segment Breakdown)</w:t>
        <w:br/>
        <w:t>- Recommendations and Commercial Actions</w:t>
        <w:br/>
        <w:t>- Consistent formatting and minimal jargon for business readability</w:t>
      </w:r>
    </w:p>
    <w:p>
      <w:pPr>
        <w:pStyle w:val="Heading3"/>
      </w:pPr>
      <w:r>
        <w:t>3. Final Recommendations Summary</w:t>
      </w:r>
    </w:p>
    <w:p>
      <w:r>
        <w:t>- Continue targeting high-volume and high-spend customer segments.</w:t>
        <w:br/>
        <w:t>- Replicate successful trial campaigns in demographically similar stores.</w:t>
        <w:br/>
        <w:t>- Use segmentation insights for campaign personalization and loyalty programs.</w:t>
        <w:br/>
        <w:t>- Monitor performance and adapt strategies in near real-time.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