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0E6B74"/>
          <w:sz w:val="18"/>
          <w:szCs w:val="18"/>
        </w:rPr>
        <w:t xml:space="preserve">MANUSCRIPT REVIEW BRIEFING</w:t>
      </w:r>
    </w:p>
    <w:p>
      <w:pPr>
        <w:spacing w:after="160"/>
      </w:pPr>
      <w:r>
        <w:rPr>
          <w:rFonts w:ascii="Cambria" w:cs="Cambria" w:eastAsia="Cambria" w:hAnsi="Cambria"/>
          <w:b/>
          <w:bCs/>
          <w:color w:val="1E2A44"/>
          <w:sz w:val="44"/>
          <w:szCs w:val="44"/>
        </w:rPr>
        <w:t xml:space="preserve">TWINGATE Manuscript Review: Status and Decisions Requested</w:t>
      </w:r>
    </w:p>
    <w:p>
      <w:pPr>
        <w:spacing w:after="300"/>
      </w:pPr>
      <w:r>
        <w:rPr>
          <w:rFonts w:ascii="Calibri" w:cs="Calibri" w:eastAsia="Calibri" w:hAnsi="Calibri"/>
          <w:i/>
          <w:iCs/>
          <w:color w:val="5B6478"/>
          <w:sz w:val="22"/>
          <w:szCs w:val="22"/>
        </w:rPr>
        <w:t xml:space="preserve">A methodology and curation review of the manuscript. Each finding was verified against the paper's own text and underlying code, documented prior to any edit, and confirmed by a full recompile before being merged.</w:t>
      </w:r>
    </w:p>
    <w:p>
      <w:pPr>
        <w:spacing w:after="30"/>
      </w:pPr>
      <w:r>
        <w:rPr>
          <w:rFonts w:ascii="Consolas" w:cs="Consolas" w:eastAsia="Consolas" w:hAnsi="Consolas"/>
          <w:b/>
          <w:bCs/>
          <w:color w:val="5B6478"/>
          <w:sz w:val="17"/>
          <w:szCs w:val="17"/>
        </w:rPr>
        <w:t xml:space="preserve">Repository:  </w:t>
      </w:r>
      <w:r>
        <w:rPr>
          <w:rFonts w:ascii="Consolas" w:cs="Consolas" w:eastAsia="Consolas" w:hAnsi="Consolas"/>
          <w:color w:val="1A1A1A"/>
          <w:sz w:val="17"/>
          <w:szCs w:val="17"/>
        </w:rPr>
        <w:t xml:space="preserve">sahil-idk/vtc_2027</w:t>
      </w:r>
    </w:p>
    <w:p>
      <w:pPr>
        <w:spacing w:after="30"/>
      </w:pPr>
      <w:r>
        <w:rPr>
          <w:rFonts w:ascii="Consolas" w:cs="Consolas" w:eastAsia="Consolas" w:hAnsi="Consolas"/>
          <w:b/>
          <w:bCs/>
          <w:color w:val="5B6478"/>
          <w:sz w:val="17"/>
          <w:szCs w:val="17"/>
        </w:rPr>
        <w:t xml:space="preserve">Branch:      </w:t>
      </w:r>
      <w:r>
        <w:rPr>
          <w:rFonts w:ascii="Consolas" w:cs="Consolas" w:eastAsia="Consolas" w:hAnsi="Consolas"/>
          <w:color w:val="1A1A1A"/>
          <w:sz w:val="17"/>
          <w:szCs w:val="17"/>
        </w:rPr>
        <w:t xml:space="preserve">claude/kind-babbage-i7d3l4</w:t>
      </w:r>
    </w:p>
    <w:p>
      <w:pPr>
        <w:spacing w:after="300"/>
      </w:pPr>
      <w:r>
        <w:rPr>
          <w:rFonts w:ascii="Consolas" w:cs="Consolas" w:eastAsia="Consolas" w:hAnsi="Consolas"/>
          <w:b/>
          <w:bCs/>
          <w:color w:val="5B6478"/>
          <w:sz w:val="17"/>
          <w:szCs w:val="17"/>
        </w:rPr>
        <w:t xml:space="preserve">Scope:       </w:t>
      </w:r>
      <w:r>
        <w:rPr>
          <w:rFonts w:ascii="Consolas" w:cs="Consolas" w:eastAsia="Consolas" w:hAnsi="Consolas"/>
          <w:color w:val="1A1A1A"/>
          <w:sz w:val="17"/>
          <w:szCs w:val="17"/>
        </w:rPr>
        <w:t xml:space="preserve">methodology and curation; reproducibility out of scope for this pass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14</w:t>
            </w:r>
          </w:p>
        </w:tc>
        <w:tc>
          <w:tcPr>
            <w:tcW w:type="dxa" w:w="2000"/>
            <w:shd w:fill="FBEEDD" w:val="clear"/>
            <w:tcMar>
              <w:top w:type="dxa" w:w="60"/>
              <w:left w:type="dxa" w:w="100"/>
              <w:bottom w:type="dxa" w:w="60"/>
              <w:right w:type="dxa" w:w="100"/>
            </w:tcMar>
            <w:vAlign w:val="center"/>
          </w:tcPr>
          <w:p>
            <w:pPr>
              <w:jc w:val="center"/>
            </w:pPr>
            <w:r>
              <w:rPr>
                <w:rFonts w:ascii="Consolas" w:cs="Consolas" w:eastAsia="Consolas" w:hAnsi="Consolas"/>
                <w:b/>
                <w:bCs/>
                <w:color w:val="8A4F14"/>
                <w:sz w:val="16"/>
                <w:szCs w:val="16"/>
              </w:rPr>
              <w:t xml:space="preserve">2</w:t>
            </w:r>
          </w:p>
        </w:tc>
        <w:tc>
          <w:tcPr>
            <w:tcW w:type="dxa" w:w="2000"/>
            <w:shd w:fill="E8EDF9" w:val="clear"/>
            <w:tcMar>
              <w:top w:type="dxa" w:w="60"/>
              <w:left w:type="dxa" w:w="100"/>
              <w:bottom w:type="dxa" w:w="60"/>
              <w:right w:type="dxa" w:w="100"/>
            </w:tcMar>
            <w:vAlign w:val="center"/>
          </w:tcPr>
          <w:p>
            <w:pPr>
              <w:jc w:val="center"/>
            </w:pPr>
            <w:r>
              <w:rPr>
                <w:rFonts w:ascii="Consolas" w:cs="Consolas" w:eastAsia="Consolas" w:hAnsi="Consolas"/>
                <w:b/>
                <w:bCs/>
                <w:color w:val="2C4A82"/>
                <w:sz w:val="16"/>
                <w:szCs w:val="16"/>
              </w:rPr>
              <w:t xml:space="preserve">1</w:t>
            </w:r>
          </w:p>
        </w:tc>
        <w:tc>
          <w:tcPr>
            <w:tcW w:type="dxa" w:w="2000"/>
            <w:shd w:fill="F8E7EC" w:val="clear"/>
            <w:tcMar>
              <w:top w:type="dxa" w:w="60"/>
              <w:left w:type="dxa" w:w="100"/>
              <w:bottom w:type="dxa" w:w="60"/>
              <w:right w:type="dxa" w:w="100"/>
            </w:tcMar>
            <w:vAlign w:val="center"/>
          </w:tcPr>
          <w:p>
            <w:pPr>
              <w:jc w:val="center"/>
            </w:pPr>
            <w:r>
              <w:rPr>
                <w:rFonts w:ascii="Consolas" w:cs="Consolas" w:eastAsia="Consolas" w:hAnsi="Consolas"/>
                <w:b/>
                <w:bCs/>
                <w:color w:val="8A2F44"/>
                <w:sz w:val="16"/>
                <w:szCs w:val="16"/>
              </w:rPr>
              <w:t xml:space="preserve">3</w:t>
            </w:r>
          </w:p>
        </w:tc>
        <w:tc>
          <w:tcPr>
            <w:tcW w:type="dxa" w:w="2000"/>
            <w:shd w:fill="EEF0F4" w:val="clear"/>
            <w:tcMar>
              <w:top w:type="dxa" w:w="60"/>
              <w:left w:type="dxa" w:w="100"/>
              <w:bottom w:type="dxa" w:w="60"/>
              <w:right w:type="dxa" w:w="100"/>
            </w:tcMar>
            <w:vAlign w:val="center"/>
          </w:tcPr>
          <w:p>
            <w:pPr>
              <w:jc w:val="center"/>
            </w:pPr>
            <w:r>
              <w:rPr>
                <w:rFonts w:ascii="Consolas" w:cs="Consolas" w:eastAsia="Consolas" w:hAnsi="Consolas"/>
                <w:b/>
                <w:bCs/>
                <w:color w:val="6B7280"/>
                <w:sz w:val="16"/>
                <w:szCs w:val="16"/>
              </w:rPr>
              <w:t xml:space="preserve">1</w:t>
            </w:r>
          </w:p>
        </w:tc>
      </w:tr>
      <w:tr>
        <w:tc>
          <w:tcPr>
            <w:tcW w:type="dxa" w:w="187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Fixed &amp; merged</w:t>
            </w:r>
          </w:p>
        </w:tc>
        <w:tc>
          <w:tcPr>
            <w:tcW w:type="dxa" w:w="187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Partly fixed — GPU rerun needed</w:t>
            </w:r>
          </w:p>
        </w:tc>
        <w:tc>
          <w:tcPr>
            <w:tcW w:type="dxa" w:w="187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Documented — decision needed</w:t>
            </w:r>
          </w:p>
        </w:tc>
        <w:tc>
          <w:tcPr>
            <w:tcW w:type="dxa" w:w="187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Open — not yet drafted</w:t>
            </w:r>
          </w:p>
        </w:tc>
        <w:tc>
          <w:tcPr>
            <w:tcW w:type="dxa" w:w="187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Reviewed — no action needed</w:t>
            </w:r>
          </w:p>
        </w:tc>
      </w:tr>
    </w:tbl>
    <w:p>
      <w:r>
        <w:br w:type="page"/>
      </w:r>
    </w:p>
    <w:p>
      <w:pPr>
        <w:pStyle w:val="Heading1"/>
        <w:spacing w:after="200" w:before="480"/>
      </w:pPr>
      <w:r>
        <w:rPr>
          <w:rFonts w:ascii="Cambria" w:cs="Cambria" w:eastAsia="Cambria" w:hAnsi="Cambria"/>
          <w:b/>
          <w:bCs/>
          <w:color w:val="1E2A44"/>
          <w:sz w:val="32"/>
          <w:szCs w:val="32"/>
        </w:rPr>
        <w:t xml:space="preserve">1.  Review Methodology</w:t>
      </w:r>
    </w:p>
    <w:p>
      <w:pPr>
        <w:spacing w:after="140" w:line="300"/>
      </w:pPr>
      <w:r>
        <w:rPr>
          <w:rFonts w:ascii="Calibri" w:cs="Calibri" w:eastAsia="Calibri" w:hAnsi="Calibri"/>
          <w:b w:val="false"/>
          <w:bCs w:val="false"/>
          <w:i w:val="false"/>
          <w:iCs w:val="false"/>
          <w:color w:val="1A1A1A"/>
          <w:sz w:val="22"/>
          <w:szCs w:val="22"/>
        </w:rPr>
        <w:t xml:space="preserve">Every finding, whether a methodological concern or a wording issue, was carried through the same four-step process, so each change can be traced back to its rationale.</w:t>
      </w:r>
    </w:p>
    <w:p>
      <w:pPr>
        <w:pStyle w:val="ListParagraph"/>
        <w:numPr>
          <w:ilvl w:val="0"/>
          <w:numId w:val="2"/>
        </w:numPr>
        <w:spacing w:after="100" w:line="280"/>
      </w:pPr>
      <w:r>
        <w:rPr>
          <w:rFonts w:ascii="Calibri" w:cs="Calibri" w:eastAsia="Calibri" w:hAnsi="Calibri"/>
          <w:color w:val="1A1A1A"/>
          <w:sz w:val="21"/>
          <w:szCs w:val="21"/>
        </w:rPr>
        <w:t xml:space="preserve">Document — a plain-language write-up, the current text quoted in full, and the reason it is a problem.</w:t>
      </w:r>
    </w:p>
    <w:p>
      <w:pPr>
        <w:pStyle w:val="ListParagraph"/>
        <w:numPr>
          <w:ilvl w:val="0"/>
          <w:numId w:val="2"/>
        </w:numPr>
        <w:spacing w:after="100" w:line="280"/>
      </w:pPr>
      <w:r>
        <w:rPr>
          <w:rFonts w:ascii="Calibri" w:cs="Calibri" w:eastAsia="Calibri" w:hAnsi="Calibri"/>
          <w:color w:val="1A1A1A"/>
          <w:sz w:val="21"/>
          <w:szCs w:val="21"/>
        </w:rPr>
        <w:t xml:space="preserve">Decide — fix options drafted as complete before/after passages; a decision, not a fait accompli.</w:t>
      </w:r>
    </w:p>
    <w:p>
      <w:pPr>
        <w:pStyle w:val="ListParagraph"/>
        <w:numPr>
          <w:ilvl w:val="0"/>
          <w:numId w:val="2"/>
        </w:numPr>
        <w:spacing w:after="100" w:line="280"/>
      </w:pPr>
      <w:r>
        <w:rPr>
          <w:rFonts w:ascii="Calibri" w:cs="Calibri" w:eastAsia="Calibri" w:hAnsi="Calibri"/>
          <w:color w:val="1A1A1A"/>
          <w:sz w:val="21"/>
          <w:szCs w:val="21"/>
        </w:rPr>
        <w:t xml:space="preserve">Apply and verify — the edit is made to main.tex; a full pdflatex + bibtex recompile confirms zero errors and zero broken references.</w:t>
      </w:r>
    </w:p>
    <w:p>
      <w:pPr>
        <w:pStyle w:val="ListParagraph"/>
        <w:numPr>
          <w:ilvl w:val="0"/>
          <w:numId w:val="2"/>
        </w:numPr>
        <w:spacing w:after="100" w:line="280"/>
      </w:pPr>
      <w:r>
        <w:rPr>
          <w:rFonts w:ascii="Calibri" w:cs="Calibri" w:eastAsia="Calibri" w:hAnsi="Calibri"/>
          <w:color w:val="1A1A1A"/>
          <w:sz w:val="21"/>
          <w:szCs w:val="21"/>
        </w:rPr>
        <w:t xml:space="preserve">Commit and merge — committed with the full reasoning recorded, opened as a pull request, and merged.</w:t>
      </w:r>
    </w:p>
    <w:p>
      <w:pPr>
        <w:pStyle w:val="Heading1"/>
        <w:spacing w:after="200" w:before="480"/>
      </w:pPr>
      <w:r>
        <w:rPr>
          <w:rFonts w:ascii="Cambria" w:cs="Cambria" w:eastAsia="Cambria" w:hAnsi="Cambria"/>
          <w:b/>
          <w:bCs/>
          <w:color w:val="1E2A44"/>
          <w:sz w:val="32"/>
          <w:szCs w:val="32"/>
        </w:rPr>
        <w:t xml:space="preserve">2.  Revising the Accuracy Standard: From 3 dB to 6 dB</w:t>
      </w:r>
    </w:p>
    <w:p>
      <w:pPr>
        <w:spacing w:after="140" w:line="300"/>
      </w:pPr>
      <w:r>
        <w:rPr>
          <w:rFonts w:ascii="Calibri" w:cs="Calibri" w:eastAsia="Calibri" w:hAnsi="Calibri"/>
          <w:b w:val="false"/>
          <w:bCs w:val="false"/>
          <w:i w:val="false"/>
          <w:iCs w:val="false"/>
          <w:color w:val="1A1A1A"/>
          <w:sz w:val="22"/>
          <w:szCs w:val="22"/>
        </w:rPr>
        <w:t xml:space="preserve">This revision affects the Abstract, the Contributions, Table I, and the Discussion. It is the change most likely to draw reviewer attention, so the full reasoning is presented here, not only the resulting wording.</w:t>
      </w:r>
    </w:p>
    <w:p>
      <w:pPr>
        <w:pStyle w:val="Heading2"/>
        <w:spacing w:after="140" w:before="320"/>
      </w:pPr>
      <w:r>
        <w:rPr>
          <w:rFonts w:ascii="Cambria" w:cs="Cambria" w:eastAsia="Cambria" w:hAnsi="Cambria"/>
          <w:b/>
          <w:bCs/>
          <w:color w:val="1E2A44"/>
          <w:sz w:val="25"/>
          <w:szCs w:val="25"/>
        </w:rPr>
        <w:t xml:space="preserve">2.1  The original framing</w:t>
      </w:r>
    </w:p>
    <w:p>
      <w:pPr>
        <w:spacing w:after="140" w:line="300"/>
      </w:pPr>
      <w:r>
        <w:rPr>
          <w:rFonts w:ascii="Calibri" w:cs="Calibri" w:eastAsia="Calibri" w:hAnsi="Calibri"/>
          <w:b w:val="false"/>
          <w:bCs w:val="false"/>
          <w:i w:val="false"/>
          <w:iCs w:val="false"/>
          <w:color w:val="1A1A1A"/>
          <w:sz w:val="22"/>
          <w:szCs w:val="22"/>
        </w:rPr>
        <w:t xml:space="preserve">M1 (RSRP mean absolute error) carried a self-imposed pass/fail bar of M1 &lt; 3 dB, justified as being within the 3GPP ±6 dB accuracy bound's own precision. Table I scored every pipeline stage against this bar with a bolded Yes/No column.</w:t>
      </w:r>
    </w:p>
    <w:p>
      <w:pPr>
        <w:pStyle w:val="Heading2"/>
        <w:spacing w:after="140" w:before="320"/>
      </w:pPr>
      <w:r>
        <w:rPr>
          <w:rFonts w:ascii="Cambria" w:cs="Cambria" w:eastAsia="Cambria" w:hAnsi="Cambria"/>
          <w:b/>
          <w:bCs/>
          <w:color w:val="1E2A44"/>
          <w:sz w:val="25"/>
          <w:szCs w:val="25"/>
        </w:rPr>
        <w:t xml:space="preserve">2.2  The problem it created</w:t>
      </w:r>
    </w:p>
    <w:p>
      <w:pPr>
        <w:spacing w:after="140" w:line="300"/>
      </w:pPr>
      <w:r>
        <w:rPr>
          <w:rFonts w:ascii="Calibri" w:cs="Calibri" w:eastAsia="Calibri" w:hAnsi="Calibri"/>
          <w:b w:val="false"/>
          <w:bCs w:val="false"/>
          <w:i w:val="false"/>
          <w:iCs w:val="false"/>
          <w:color w:val="1A1A1A"/>
          <w:sz w:val="22"/>
          <w:szCs w:val="22"/>
        </w:rPr>
        <w:t xml:space="preserve">Neither operator ever crosses 3 dB — the best achieved results are 3.02 dB and 4.04 dB. Every row in Table I therefore read “No.” The body text's own noise-floor argument for why 3.02 dB should “basically count” directly conflicted with the table's bolded rejection immediately beside it.</w:t>
      </w:r>
    </w:p>
    <w:p>
      <w:pPr>
        <w:pStyle w:val="Heading2"/>
        <w:spacing w:after="140" w:before="320"/>
      </w:pPr>
      <w:r>
        <w:rPr>
          <w:rFonts w:ascii="Cambria" w:cs="Cambria" w:eastAsia="Cambria" w:hAnsi="Cambria"/>
          <w:b/>
          <w:bCs/>
          <w:color w:val="1E2A44"/>
          <w:sz w:val="25"/>
          <w:szCs w:val="25"/>
        </w:rPr>
        <w:t xml:space="preserve">2.3  Verification performed before any change</w:t>
      </w:r>
    </w:p>
    <w:p>
      <w:pPr>
        <w:spacing w:after="140" w:line="300"/>
      </w:pPr>
      <w:r>
        <w:rPr>
          <w:rFonts w:ascii="Calibri" w:cs="Calibri" w:eastAsia="Calibri" w:hAnsi="Calibri"/>
          <w:b w:val="false"/>
          <w:bCs w:val="false"/>
          <w:i w:val="false"/>
          <w:iCs w:val="false"/>
          <w:color w:val="1A1A1A"/>
          <w:sz w:val="22"/>
          <w:szCs w:val="22"/>
        </w:rPr>
        <w:t xml:space="preserve">Four independent research passes were run — covering general literature, 3GPP specifications, comparable ray-tracing digital-twin studies, and V2X-specific thresholds — before deciding on a revision, specifically so the fix was not simply a more convenient number.</w:t>
      </w:r>
    </w:p>
    <w:p>
      <w:pPr>
        <w:pStyle w:val="ListParagraph"/>
        <w:numPr>
          <w:ilvl w:val="0"/>
          <w:numId w:val="3"/>
        </w:numPr>
        <w:spacing w:after="90" w:line="280"/>
      </w:pPr>
      <w:r>
        <w:rPr>
          <w:rFonts w:ascii="Calibri" w:cs="Calibri" w:eastAsia="Calibri" w:hAnsi="Calibri"/>
          <w:color w:val="1A1A1A"/>
          <w:sz w:val="21"/>
          <w:szCs w:val="21"/>
        </w:rPr>
        <w:t xml:space="preserve">3GPP TS 36.133 — absolute RSRP measurement accuracy of ±6 dB</w:t>
      </w:r>
    </w:p>
    <w:p>
      <w:pPr>
        <w:pStyle w:val="ListParagraph"/>
        <w:numPr>
          <w:ilvl w:val="0"/>
          <w:numId w:val="3"/>
        </w:numPr>
        <w:spacing w:after="90" w:line="280"/>
      </w:pPr>
      <w:r>
        <w:rPr>
          <w:rFonts w:ascii="Calibri" w:cs="Calibri" w:eastAsia="Calibri" w:hAnsi="Calibri"/>
          <w:color w:val="1A1A1A"/>
          <w:sz w:val="21"/>
          <w:szCs w:val="21"/>
        </w:rPr>
        <w:t xml:space="preserve">3GPP TR 38.901 — UMa scenario shadow-fading standard deviation of 4–6 dB</w:t>
      </w:r>
    </w:p>
    <w:p>
      <w:pPr>
        <w:pStyle w:val="Heading2"/>
        <w:spacing w:after="140" w:before="320"/>
      </w:pPr>
      <w:r>
        <w:rPr>
          <w:rFonts w:ascii="Cambria" w:cs="Cambria" w:eastAsia="Cambria" w:hAnsi="Cambria"/>
          <w:b/>
          <w:bCs/>
          <w:color w:val="1E2A44"/>
          <w:sz w:val="25"/>
          <w:szCs w:val="25"/>
        </w:rPr>
        <w:t xml:space="preserve">2.4  The corroborating citation — verified, not assumed</w:t>
      </w:r>
    </w:p>
    <w:p>
      <w:pPr>
        <w:spacing w:after="140" w:line="300"/>
      </w:pPr>
      <w:r>
        <w:rPr>
          <w:rFonts w:ascii="Calibri" w:cs="Calibri" w:eastAsia="Calibri" w:hAnsi="Calibri"/>
          <w:b w:val="false"/>
          <w:bCs w:val="false"/>
          <w:i w:val="false"/>
          <w:iCs w:val="false"/>
          <w:color w:val="1A1A1A"/>
          <w:sz w:val="22"/>
          <w:szCs w:val="22"/>
        </w:rPr>
        <w:t xml:space="preserve">MART-6G, a calibrated ray-tracing 6G digital-twin platform, reports 4.99 dB path-loss RMSE after calibration versus 8.11 dB uncalibrated — the same order of magnitude as this manuscript's own results. Before citing it, the source paper was read in full, which surfaced that an initial summary had overstated its scope: it is a general 6G platform, not V2X-specific, and its one V2V case study reports a similarity index rather than a dB figure. The citation was scoped to what the source paper actually supports.</w:t>
      </w:r>
    </w:p>
    <w:p>
      <w:pPr>
        <w:pStyle w:val="Heading2"/>
        <w:spacing w:after="140" w:before="320"/>
      </w:pPr>
      <w:r>
        <w:rPr>
          <w:rFonts w:ascii="Cambria" w:cs="Cambria" w:eastAsia="Cambria" w:hAnsi="Cambria"/>
          <w:b/>
          <w:bCs/>
          <w:color w:val="1E2A44"/>
          <w:sz w:val="25"/>
          <w:szCs w:val="25"/>
        </w:rPr>
        <w:t xml:space="preserve">2.5  The revised framing</w:t>
      </w:r>
    </w:p>
    <w:p>
      <w:pPr>
        <w:spacing w:after="140" w:line="300"/>
      </w:pPr>
      <w:r>
        <w:rPr>
          <w:rFonts w:ascii="Calibri" w:cs="Calibri" w:eastAsia="Calibri" w:hAnsi="Calibri"/>
          <w:b w:val="false"/>
          <w:bCs w:val="false"/>
          <w:i w:val="false"/>
          <w:iCs w:val="false"/>
          <w:color w:val="1A1A1A"/>
          <w:sz w:val="22"/>
          <w:szCs w:val="22"/>
        </w:rPr>
        <w:t xml:space="preserve">M1 is now presented as a fidelity indicator rather than a pass/fail gate: a measure of how closely the reconstructed twin's predicted RSRP tracks reality, read against the instrument's own ±6 dB accuracy bound and the channel's natural 4–6 dB shadow-fading variability. Table I's Yes/No column has been removed.</w:t>
      </w:r>
    </w:p>
    <w:p>
      <w:pPr>
        <w:spacing w:after="100"/>
      </w:pPr>
      <w:r>
        <w:rPr>
          <w:rFonts w:ascii="Calibri" w:cs="Calibri" w:eastAsia="Calibri" w:hAnsi="Calibri"/>
          <w:i/>
          <w:iCs/>
          <w:color w:val="5B6478"/>
          <w:sz w:val="18"/>
          <w:szCs w:val="18"/>
        </w:rPr>
        <w:t xml:space="preserve">Table 1.  Gate 2 calibration pipeline — RSRP mean absolute error by stage (Day 3, held 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650"/>
        <w:gridCol w:w="2000"/>
        <w:gridCol w:w="2000"/>
      </w:tblGrid>
      <w:tr>
        <w:trPr>
          <w:tblHeader/>
        </w:trPr>
        <w:tc>
          <w:tcPr>
            <w:shd w:fill="F2F4F9" w:val="clear"/>
            <w:tcMar>
              <w:top w:type="dxa" w:w="70"/>
              <w:left w:type="dxa" w:w="100"/>
              <w:bottom w:type="dxa" w:w="70"/>
              <w:right w:type="dxa" w:w="100"/>
            </w:tcMar>
          </w:tcPr>
          <w:p>
            <w:r>
              <w:rPr>
                <w:rFonts w:ascii="Calibri" w:cs="Calibri" w:eastAsia="Calibri" w:hAnsi="Calibri"/>
                <w:b/>
                <w:bCs/>
                <w:color w:val="5B6478"/>
                <w:sz w:val="17"/>
                <w:szCs w:val="17"/>
              </w:rPr>
              <w:t xml:space="preserve">Stage</w:t>
            </w:r>
          </w:p>
        </w:tc>
        <w:tc>
          <w:tcPr>
            <w:shd w:fill="F2F4F9" w:val="clear"/>
            <w:tcMar>
              <w:top w:type="dxa" w:w="70"/>
              <w:left w:type="dxa" w:w="100"/>
              <w:bottom w:type="dxa" w:w="70"/>
              <w:right w:type="dxa" w:w="100"/>
            </w:tcMar>
          </w:tcPr>
          <w:p>
            <w:r>
              <w:rPr>
                <w:rFonts w:ascii="Calibri" w:cs="Calibri" w:eastAsia="Calibri" w:hAnsi="Calibri"/>
                <w:b/>
                <w:bCs/>
                <w:color w:val="5B6478"/>
                <w:sz w:val="17"/>
                <w:szCs w:val="17"/>
              </w:rPr>
              <w:t xml:space="preserve">What's added</w:t>
            </w:r>
          </w:p>
        </w:tc>
        <w:tc>
          <w:tcPr>
            <w:shd w:fill="F2F4F9" w:val="clear"/>
            <w:tcMar>
              <w:top w:type="dxa" w:w="70"/>
              <w:left w:type="dxa" w:w="100"/>
              <w:bottom w:type="dxa" w:w="70"/>
              <w:right w:type="dxa" w:w="100"/>
            </w:tcMar>
          </w:tcPr>
          <w:p>
            <w:r>
              <w:rPr>
                <w:rFonts w:ascii="Calibri" w:cs="Calibri" w:eastAsia="Calibri" w:hAnsi="Calibri"/>
                <w:b/>
                <w:bCs/>
                <w:color w:val="5B6478"/>
                <w:sz w:val="17"/>
                <w:szCs w:val="17"/>
              </w:rPr>
              <w:t xml:space="preserve">Op. 1 MAE (dB)</w:t>
            </w:r>
          </w:p>
        </w:tc>
        <w:tc>
          <w:tcPr>
            <w:shd w:fill="F2F4F9" w:val="clear"/>
            <w:tcMar>
              <w:top w:type="dxa" w:w="70"/>
              <w:left w:type="dxa" w:w="100"/>
              <w:bottom w:type="dxa" w:w="70"/>
              <w:right w:type="dxa" w:w="100"/>
            </w:tcMar>
          </w:tcPr>
          <w:p>
            <w:r>
              <w:rPr>
                <w:rFonts w:ascii="Calibri" w:cs="Calibri" w:eastAsia="Calibri" w:hAnsi="Calibri"/>
                <w:b/>
                <w:bCs/>
                <w:color w:val="5B6478"/>
                <w:sz w:val="17"/>
                <w:szCs w:val="17"/>
              </w:rPr>
              <w:t xml:space="preserve">Op. 2 MAE (dB)</w:t>
            </w:r>
          </w:p>
        </w:tc>
      </w:tr>
      <w:tr>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0</w:t>
            </w:r>
          </w:p>
        </w:tc>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Per-cell mean, no ray tracing</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4.40</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5.48</w:t>
            </w:r>
          </w:p>
        </w:tc>
      </w:tr>
      <w:tr>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1</w:t>
            </w:r>
          </w:p>
        </w:tc>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 Sionna RT, crowd-sourced positions</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3.61</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5.48</w:t>
            </w:r>
          </w:p>
        </w:tc>
      </w:tr>
      <w:tr>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2</w:t>
            </w:r>
          </w:p>
        </w:tc>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+ 2D position optimization</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2.78</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4.48</w:t>
            </w:r>
          </w:p>
        </w:tc>
      </w:tr>
      <w:tr>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3</w:t>
            </w:r>
          </w:p>
        </w:tc>
        <w:tc>
          <w:tcPr>
            <w:tcMar>
              <w:top w:type="dxa" w:w="70"/>
              <w:left w:type="dxa" w:w="100"/>
              <w:bottom w:type="dxa" w:w="70"/>
              <w:right w:type="dxa" w:w="100"/>
            </w:tcMar>
          </w:tcPr>
          <w:p>
            <w:pPr>
              <w:jc w:val="left"/>
            </w:pPr>
            <w:r>
              <w:rPr>
                <w:rFonts w:ascii="Calibri" w:cs="Calibri" w:eastAsia="Calibri" w:hAnsi="Calibri"/>
                <w:b w:val="false"/>
                <w:bCs w:val="false"/>
                <w:color w:val="1A1A1A"/>
                <w:sz w:val="19"/>
                <w:szCs w:val="19"/>
              </w:rPr>
              <w:t xml:space="preserve">+ 4D optimization (height, azimuth)</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3.03</w:t>
            </w:r>
          </w:p>
        </w:tc>
        <w:tc>
          <w:tcPr>
            <w:tcMar>
              <w:top w:type="dxa" w:w="70"/>
              <w:left w:type="dxa" w:w="100"/>
              <w:bottom w:type="dxa" w:w="70"/>
              <w:right w:type="dxa" w:w="100"/>
            </w:tcMar>
          </w:tcPr>
          <w:p>
            <w:pPr>
              <w:jc w:val="right"/>
            </w:pPr>
            <w:r>
              <w:rPr>
                <w:rFonts w:ascii="Consolas" w:cs="Consolas" w:eastAsia="Consolas" w:hAnsi="Consolas"/>
                <w:b w:val="false"/>
                <w:bCs w:val="false"/>
                <w:color w:val="1A1A1A"/>
                <w:sz w:val="19"/>
                <w:szCs w:val="19"/>
              </w:rPr>
              <w:t xml:space="preserve">4.07</w:t>
            </w:r>
          </w:p>
        </w:tc>
      </w:tr>
      <w:tr>
        <w:tc>
          <w:tcPr>
            <w:shd w:fill="E2F2F2" w:val="clear"/>
            <w:tcMar>
              <w:top w:type="dxa" w:w="70"/>
              <w:left w:type="dxa" w:w="100"/>
              <w:bottom w:type="dxa" w:w="70"/>
              <w:right w:type="dxa" w:w="100"/>
            </w:tcMar>
          </w:tcPr>
          <w:p>
            <w:pPr>
              <w:jc w:val="left"/>
            </w:pPr>
            <w:r>
              <w:rPr>
                <w:rFonts w:ascii="Calibri" w:cs="Calibri" w:eastAsia="Calibri" w:hAnsi="Calibri"/>
                <w:b/>
                <w:bCs/>
                <w:color w:val="1E2A44"/>
                <w:sz w:val="19"/>
                <w:szCs w:val="19"/>
              </w:rPr>
              <w:t xml:space="preserve">4</w:t>
            </w:r>
          </w:p>
        </w:tc>
        <w:tc>
          <w:tcPr>
            <w:shd w:fill="E2F2F2" w:val="clear"/>
            <w:tcMar>
              <w:top w:type="dxa" w:w="70"/>
              <w:left w:type="dxa" w:w="100"/>
              <w:bottom w:type="dxa" w:w="70"/>
              <w:right w:type="dxa" w:w="100"/>
            </w:tcMar>
          </w:tcPr>
          <w:p>
            <w:pPr>
              <w:jc w:val="left"/>
            </w:pPr>
            <w:r>
              <w:rPr>
                <w:rFonts w:ascii="Calibri" w:cs="Calibri" w:eastAsia="Calibri" w:hAnsi="Calibri"/>
                <w:b/>
                <w:bCs/>
                <w:color w:val="1E2A44"/>
                <w:sz w:val="19"/>
                <w:szCs w:val="19"/>
              </w:rPr>
              <w:t xml:space="preserve">+ diffuse scattering (final)</w:t>
            </w:r>
          </w:p>
        </w:tc>
        <w:tc>
          <w:tcPr>
            <w:shd w:fill="E2F2F2" w:val="clear"/>
            <w:tcMar>
              <w:top w:type="dxa" w:w="70"/>
              <w:left w:type="dxa" w:w="100"/>
              <w:bottom w:type="dxa" w:w="70"/>
              <w:right w:type="dxa" w:w="100"/>
            </w:tcMar>
          </w:tcPr>
          <w:p>
            <w:pPr>
              <w:jc w:val="right"/>
            </w:pPr>
            <w:r>
              <w:rPr>
                <w:rFonts w:ascii="Consolas" w:cs="Consolas" w:eastAsia="Consolas" w:hAnsi="Consolas"/>
                <w:b/>
                <w:bCs/>
                <w:color w:val="1E2A44"/>
                <w:sz w:val="19"/>
                <w:szCs w:val="19"/>
              </w:rPr>
              <w:t xml:space="preserve">3.02</w:t>
            </w:r>
          </w:p>
        </w:tc>
        <w:tc>
          <w:tcPr>
            <w:shd w:fill="E2F2F2" w:val="clear"/>
            <w:tcMar>
              <w:top w:type="dxa" w:w="70"/>
              <w:left w:type="dxa" w:w="100"/>
              <w:bottom w:type="dxa" w:w="70"/>
              <w:right w:type="dxa" w:w="100"/>
            </w:tcMar>
          </w:tcPr>
          <w:p>
            <w:pPr>
              <w:jc w:val="right"/>
            </w:pPr>
            <w:r>
              <w:rPr>
                <w:rFonts w:ascii="Consolas" w:cs="Consolas" w:eastAsia="Consolas" w:hAnsi="Consolas"/>
                <w:b/>
                <w:bCs/>
                <w:color w:val="1E2A44"/>
                <w:sz w:val="19"/>
                <w:szCs w:val="19"/>
              </w:rPr>
              <w:t xml:space="preserve">4.04</w:t>
            </w:r>
          </w:p>
        </w:tc>
      </w:tr>
    </w:tbl>
    <w:p>
      <w:pPr>
        <w:spacing w:after="200" w:before="160"/>
      </w:pPr>
      <w:r>
        <w:rPr>
          <w:rFonts w:ascii="Calibri" w:cs="Calibri" w:eastAsia="Calibri" w:hAnsi="Calibri"/>
          <w:i/>
          <w:iCs/>
          <w:color w:val="5B6478"/>
          <w:sz w:val="20"/>
          <w:szCs w:val="20"/>
        </w:rPr>
        <w:t xml:space="preserve">Both final results fall comfortably under the ±6 dB instrument bound and within the channel's own 4–6 dB shadow-fading range — the revised argument is that this is where a physically faithful twin would be expected to land, not a near-miss against an arbitrary threshold.</w:t>
      </w:r>
    </w:p>
    <w:p>
      <w:r>
        <w:br w:type="page"/>
      </w:r>
    </w:p>
    <w:p>
      <w:pPr>
        <w:pStyle w:val="Heading1"/>
        <w:spacing w:after="200" w:before="480"/>
      </w:pPr>
      <w:r>
        <w:rPr>
          <w:rFonts w:ascii="Cambria" w:cs="Cambria" w:eastAsia="Cambria" w:hAnsi="Cambria"/>
          <w:b/>
          <w:bCs/>
          <w:color w:val="1E2A44"/>
          <w:sz w:val="32"/>
          <w:szCs w:val="32"/>
        </w:rPr>
        <w:t xml:space="preserve">3.  Key Textual Revisions</w:t>
      </w:r>
    </w:p>
    <w:p>
      <w:pPr>
        <w:spacing w:after="140" w:line="300"/>
      </w:pPr>
      <w:r>
        <w:rPr>
          <w:rFonts w:ascii="Calibri" w:cs="Calibri" w:eastAsia="Calibri" w:hAnsi="Calibri"/>
          <w:b w:val="false"/>
          <w:bCs w:val="false"/>
          <w:i w:val="false"/>
          <w:iCs w:val="false"/>
          <w:color w:val="1A1A1A"/>
          <w:sz w:val="22"/>
          <w:szCs w:val="22"/>
        </w:rPr>
        <w:t xml:space="preserve">The six revisions most warranting direct review, quoted before and after without paraphrase.</w:t>
      </w:r>
    </w:p>
    <w:p>
      <w:pPr>
        <w:spacing w:after="80" w:before="260"/>
      </w:pPr>
      <w:r>
        <w:rPr>
          <w:rFonts w:ascii="Calibri" w:cs="Calibri" w:eastAsia="Calibri" w:hAnsi="Calibri"/>
          <w:b/>
          <w:bCs/>
          <w:color w:val="1E2A44"/>
          <w:sz w:val="23"/>
          <w:szCs w:val="23"/>
        </w:rPr>
        <w:t xml:space="preserve">3.1  “Independently assess” → “jointly assess”</w:t>
      </w:r>
      <w:r>
        <w:rPr>
          <w:rFonts w:ascii="Consolas" w:cs="Consolas" w:eastAsia="Consolas" w:hAnsi="Consolas"/>
          <w:color w:val="5B6478"/>
          <w:sz w:val="18"/>
          <w:szCs w:val="18"/>
        </w:rPr>
        <w:t xml:space="preserve">   §I, Contribution 1</w:t>
      </w:r>
    </w:p>
    <w:p>
      <w:pPr>
        <w:spacing w:after="140" w:line="300"/>
      </w:pPr>
      <w:r>
        <w:rPr>
          <w:rFonts w:ascii="Calibri" w:cs="Calibri" w:eastAsia="Calibri" w:hAnsi="Calibri"/>
          <w:b w:val="false"/>
          <w:bCs w:val="false"/>
          <w:i/>
          <w:iCs/>
          <w:color w:val="1A1A1A"/>
          <w:sz w:val="22"/>
          <w:szCs w:val="22"/>
        </w:rPr>
        <w:t xml:space="preserve">The claim that all three metrics are independently derived was contradicted by §IV-C's own text: improving M1 mechanically improves M2, since both are computed from the same calibrated prediction surface. Only C is genuinely derived from a separate evidence 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“...three quantitative metrics (C, M1, M2) that independently assess measurement quality, geometric fidelity, and functional coverage accuracy, each validated on a held-out temporal split.”</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“...three quantitative metrics (C, M1, M2), drawn from two independent evidence sources, empirical recurrence and physics-based ray tracing, that jointly assess measurement quality, geometric fidelity, and functional coverage accuracy, each evaluated on a held-out temporal split.”</w:t>
            </w:r>
          </w:p>
        </w:tc>
      </w:tr>
    </w:tbl>
    <w:p>
      <w:pPr>
        <w:spacing w:after="80" w:before="260"/>
      </w:pPr>
      <w:r>
        <w:rPr>
          <w:rFonts w:ascii="Calibri" w:cs="Calibri" w:eastAsia="Calibri" w:hAnsi="Calibri"/>
          <w:b/>
          <w:bCs/>
          <w:color w:val="1E2A44"/>
          <w:sz w:val="23"/>
          <w:szCs w:val="23"/>
        </w:rPr>
        <w:t xml:space="preserve">3.2  M1's definition: pass/fail gate → fidelity indicator</w:t>
      </w:r>
      <w:r>
        <w:rPr>
          <w:rFonts w:ascii="Consolas" w:cs="Consolas" w:eastAsia="Consolas" w:hAnsi="Consolas"/>
          <w:color w:val="5B6478"/>
          <w:sz w:val="18"/>
          <w:szCs w:val="18"/>
        </w:rPr>
        <w:t xml:space="preserve">   §III, M1 metric definition</w:t>
      </w:r>
    </w:p>
    <w:p>
      <w:pPr>
        <w:spacing w:after="140" w:line="300"/>
      </w:pPr>
      <w:r>
        <w:rPr>
          <w:rFonts w:ascii="Calibri" w:cs="Calibri" w:eastAsia="Calibri" w:hAnsi="Calibri"/>
          <w:b w:val="false"/>
          <w:bCs w:val="false"/>
          <w:i/>
          <w:iCs/>
          <w:color w:val="1A1A1A"/>
          <w:sz w:val="22"/>
          <w:szCs w:val="22"/>
        </w:rPr>
        <w:t xml:space="preserve">The specific sentence that originally established the 3 dB bar discussed in Section 2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“We adopt M1 &lt; 3 dB as the readiness criterion: 3GPP TS 36.133 RSRP measurement accuracy under normal conditions is ±6 dB, so error below 3 dB is within the ground-truth labels' own precision.”</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“Rather than a binary pass/fail gate, M1 is tracked as a quantitative indicator of how faithfully the reconstructed digital twin... reproduces the real propagation environment... Comparable calibrated ray-tracing digital twin platforms report similar-magnitude error... and treat power errors below 6 dB... as an acceptable engineering target.”</w:t>
            </w:r>
          </w:p>
        </w:tc>
      </w:tr>
    </w:tbl>
    <w:p>
      <w:pPr>
        <w:spacing w:after="80" w:before="260"/>
      </w:pPr>
      <w:r>
        <w:rPr>
          <w:rFonts w:ascii="Calibri" w:cs="Calibri" w:eastAsia="Calibri" w:hAnsi="Calibri"/>
          <w:b/>
          <w:bCs/>
          <w:color w:val="1E2A44"/>
          <w:sz w:val="23"/>
          <w:szCs w:val="23"/>
        </w:rPr>
        <w:t xml:space="preserve">3.3  The near-miss framing, removed for both operators</w:t>
      </w:r>
      <w:r>
        <w:rPr>
          <w:rFonts w:ascii="Consolas" w:cs="Consolas" w:eastAsia="Consolas" w:hAnsi="Consolas"/>
          <w:color w:val="5B6478"/>
          <w:sz w:val="18"/>
          <w:szCs w:val="18"/>
        </w:rPr>
        <w:t xml:space="preserve">   §IV-C, “M1 accuracy in context”</w:t>
      </w:r>
    </w:p>
    <w:p>
      <w:pPr>
        <w:spacing w:after="140" w:line="300"/>
      </w:pPr>
      <w:r>
        <w:rPr>
          <w:rFonts w:ascii="Calibri" w:cs="Calibri" w:eastAsia="Calibri" w:hAnsi="Calibri"/>
          <w:b w:val="false"/>
          <w:bCs w:val="false"/>
          <w:i/>
          <w:iCs/>
          <w:color w:val="1A1A1A"/>
          <w:sz w:val="22"/>
          <w:szCs w:val="22"/>
        </w:rPr>
        <w:t xml:space="preserve">This passage previously treated Operator 1's 3.02 dB result as a near-miss against a 3 dB floor, with no equivalent treatment for Operator 2 — an asymmetry resolved once neither operator is measured against a 3 dB bar.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“The achieved M1 of 3.02 dB falls below the 6 dB instrument bound and within 0.02 dB of the 3 dB fading floor... Gate 2 approaches, but does not yet cross, the M1 &lt; 3 dB criterion for Operator 1.”</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“Stage 4's M1 of 3.02 dB (Operator 1) and 4.04 dB (Operator 2) both fall comfortably within the 6 dB instrument bound and at or below the channel's own natural shadow-fading variability.”</w:t>
            </w:r>
          </w:p>
        </w:tc>
      </w:tr>
    </w:tbl>
    <w:p>
      <w:pPr>
        <w:spacing w:after="80" w:before="260"/>
      </w:pPr>
      <w:r>
        <w:rPr>
          <w:rFonts w:ascii="Calibri" w:cs="Calibri" w:eastAsia="Calibri" w:hAnsi="Calibri"/>
          <w:b/>
          <w:bCs/>
          <w:color w:val="1E2A44"/>
          <w:sz w:val="23"/>
          <w:szCs w:val="23"/>
        </w:rPr>
        <w:t xml:space="preserve">3.4  The paper's central thesis, moved to where it is read first</w:t>
      </w:r>
      <w:r>
        <w:rPr>
          <w:rFonts w:ascii="Consolas" w:cs="Consolas" w:eastAsia="Consolas" w:hAnsi="Consolas"/>
          <w:color w:val="5B6478"/>
          <w:sz w:val="18"/>
          <w:szCs w:val="18"/>
        </w:rPr>
        <w:t xml:space="preserve">   §I, Contributions preamble</w:t>
      </w:r>
    </w:p>
    <w:p>
      <w:pPr>
        <w:spacing w:after="140" w:line="300"/>
      </w:pPr>
      <w:r>
        <w:rPr>
          <w:rFonts w:ascii="Calibri" w:cs="Calibri" w:eastAsia="Calibri" w:hAnsi="Calibri"/>
          <w:b w:val="false"/>
          <w:bCs w:val="false"/>
          <w:i/>
          <w:iCs/>
          <w:color w:val="1A1A1A"/>
          <w:sz w:val="22"/>
          <w:szCs w:val="22"/>
        </w:rPr>
        <w:t xml:space="preserve">The claim that convergence between two independent signals constitutes stronger evidence than either alone is the paper's central argument. It previously appeared only in the Conclusion's final paragraph, after the reader had already formed a judgment of the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“...two methods built from entirely different evidence... converge on the same anomaly is stronger validation than either metric alone, and is this paper's central claim.” (Conclusion, final paragraph — the only place it appeared.)</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Added, before any results are presented: “The central claim underlying the contributions below is that when two independently derived signals... converge on the same physical anomaly... that agreement is stronger evidence of digital-twin readiness than either signal could establish on its own.”</w:t>
            </w:r>
          </w:p>
        </w:tc>
      </w:tr>
    </w:tbl>
    <w:p>
      <w:pPr>
        <w:spacing w:after="80" w:before="260"/>
      </w:pPr>
      <w:r>
        <w:rPr>
          <w:rFonts w:ascii="Calibri" w:cs="Calibri" w:eastAsia="Calibri" w:hAnsi="Calibri"/>
          <w:b/>
          <w:bCs/>
          <w:color w:val="1E2A44"/>
          <w:sz w:val="23"/>
          <w:szCs w:val="23"/>
        </w:rPr>
        <w:t xml:space="preserve">3.5  The Beyraghi citation, without a self-inflicted comparison</w:t>
      </w:r>
      <w:r>
        <w:rPr>
          <w:rFonts w:ascii="Consolas" w:cs="Consolas" w:eastAsia="Consolas" w:hAnsi="Consolas"/>
          <w:color w:val="5B6478"/>
          <w:sz w:val="18"/>
          <w:szCs w:val="18"/>
        </w:rPr>
        <w:t xml:space="preserve">   §I, Geometric fidelity</w:t>
      </w:r>
    </w:p>
    <w:p>
      <w:pPr>
        <w:spacing w:after="140" w:line="300"/>
      </w:pPr>
      <w:r>
        <w:rPr>
          <w:rFonts w:ascii="Calibri" w:cs="Calibri" w:eastAsia="Calibri" w:hAnsi="Calibri"/>
          <w:b w:val="false"/>
          <w:bCs w:val="false"/>
          <w:i/>
          <w:iCs/>
          <w:color w:val="1A1A1A"/>
          <w:sz w:val="22"/>
          <w:szCs w:val="22"/>
        </w:rPr>
        <w:t xml:space="preserve">An initial draft of this revision stated that the manuscript's error is an order of magnitude larger than Beyraghi's 0.32 dB result — a defensible point, but one that could be quoted out of context as an admission of a weaker result. The cited paper was read in full before finalizing this revision, which surfaced a second reason the comparison does not hold: the 0.32 dB figure is a filtered, region-averaged statistic, not a per-point measurement as used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“...city-scale calibration reduces RSRP error from 5.69 to 0.32 dB through material optimization alone, but that result assumes known tower positions, a luxury public V2X datasets do not have.”</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“...city-scale calibration shows that, given known base-station coordinates, optimizing material properties alone can substantially narrow the gap between simulated and region-averaged measured coverage. That result, however, assumes known tower positions — a luxury public V2X datasets do not have.”</w:t>
            </w:r>
          </w:p>
        </w:tc>
      </w:tr>
    </w:tbl>
    <w:p>
      <w:pPr>
        <w:spacing w:after="80" w:before="260"/>
      </w:pPr>
      <w:r>
        <w:rPr>
          <w:rFonts w:ascii="Calibri" w:cs="Calibri" w:eastAsia="Calibri" w:hAnsi="Calibri"/>
          <w:b/>
          <w:bCs/>
          <w:color w:val="1E2A44"/>
          <w:sz w:val="23"/>
          <w:szCs w:val="23"/>
        </w:rPr>
        <w:t xml:space="preserve">3.6  “Layers” and “Gates” vocabulary reconciled</w:t>
      </w:r>
      <w:r>
        <w:rPr>
          <w:rFonts w:ascii="Consolas" w:cs="Consolas" w:eastAsia="Consolas" w:hAnsi="Consolas"/>
          <w:color w:val="5B6478"/>
          <w:sz w:val="18"/>
          <w:szCs w:val="18"/>
        </w:rPr>
        <w:t xml:space="preserve">   §III, opening paragraph</w:t>
      </w:r>
    </w:p>
    <w:p>
      <w:pPr>
        <w:spacing w:after="140" w:line="300"/>
      </w:pPr>
      <w:r>
        <w:rPr>
          <w:rFonts w:ascii="Calibri" w:cs="Calibri" w:eastAsia="Calibri" w:hAnsi="Calibri"/>
          <w:b w:val="false"/>
          <w:bCs w:val="false"/>
          <w:i/>
          <w:iCs/>
          <w:color w:val="1A1A1A"/>
          <w:sz w:val="22"/>
          <w:szCs w:val="22"/>
        </w:rPr>
        <w:t xml:space="preserve">The Introduction defines three “readiness layers”; the Method section defines two “Gates.” The correspondence between them was previously unstated; it is now given in one sentence, immediately preceding the architecture figure.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BEEEE" w:val="clear"/>
            <w:tcMar>
              <w:top w:type="dxa" w:w="120"/>
              <w:left w:type="dxa" w:w="140"/>
              <w:bottom w:type="dxa" w:w="120"/>
              <w:right w:type="dxa" w:w="140"/>
            </w:tcMar>
          </w:tcPr>
          <w:p>
            <w:pPr>
              <w:spacing w:after="60"/>
            </w:pPr>
            <w:r>
              <w:rPr>
                <w:rFonts w:ascii="Consolas" w:cs="Consolas" w:eastAsia="Consolas" w:hAnsi="Consolas"/>
                <w:b/>
                <w:bCs/>
                <w:color w:val="7A2F2F"/>
                <w:sz w:val="15"/>
                <w:szCs w:val="15"/>
              </w:rPr>
              <w:t xml:space="preserve">BEFORE</w:t>
            </w:r>
          </w:p>
          <w:p>
            <w:pPr>
              <w:spacing w:line="270"/>
            </w:pPr>
            <w:r>
              <w:rPr>
                <w:rFonts w:ascii="Calibri" w:cs="Calibri" w:eastAsia="Calibri" w:hAnsi="Calibri"/>
                <w:i/>
                <w:iCs/>
                <w:color w:val="7A2F2F"/>
                <w:sz w:val="19"/>
                <w:szCs w:val="19"/>
              </w:rPr>
              <w:t xml:space="preserve">No mapping stated anywhere. The reader must infer it from one Contributions bullet, together with a separate reading of the Method and Results sections.</w:t>
            </w:r>
          </w:p>
        </w:tc>
        <w:tc>
          <w:tcPr>
            <w:tcW w:type="dxa" w:w="4675"/>
            <w:shd w:fill="EAF5F0" w:val="clear"/>
            <w:tcMar>
              <w:top w:type="dxa" w:w="120"/>
              <w:left w:type="dxa" w:w="140"/>
              <w:bottom w:type="dxa" w:w="120"/>
              <w:right w:type="dxa" w:w="140"/>
            </w:tcMar>
          </w:tcPr>
          <w:p>
            <w:pPr>
              <w:spacing w:after="60"/>
            </w:pPr>
            <w:r>
              <w:rPr>
                <w:rFonts w:ascii="Consolas" w:cs="Consolas" w:eastAsia="Consolas" w:hAnsi="Consolas"/>
                <w:b/>
                <w:bCs/>
                <w:color w:val="1F5C42"/>
                <w:sz w:val="15"/>
                <w:szCs w:val="15"/>
              </w:rPr>
              <w:t xml:space="preserve">AFTER</w:t>
            </w:r>
          </w:p>
          <w:p>
            <w:pPr>
              <w:spacing w:line="270"/>
            </w:pPr>
            <w:r>
              <w:rPr>
                <w:rFonts w:ascii="Calibri" w:cs="Calibri" w:eastAsia="Calibri" w:hAnsi="Calibri"/>
                <w:color w:val="1F5C42"/>
                <w:sz w:val="19"/>
                <w:szCs w:val="19"/>
              </w:rPr>
              <w:t xml:space="preserve">Added: “Gate 1 alone produces the measurement-quality metric C; Gate 2 alone produces the geometric-fidelity metric M1; and the functional-coverage-accuracy metric M2 is computed jointly, by evaluating Gate 2's predictions against the dead-zone locations Gate 1 identifies.”</w:t>
            </w:r>
          </w:p>
        </w:tc>
      </w:tr>
    </w:tbl>
    <w:p>
      <w:r>
        <w:br w:type="page"/>
      </w:r>
    </w:p>
    <w:p>
      <w:pPr>
        <w:pStyle w:val="Heading1"/>
        <w:spacing w:after="200" w:before="480"/>
      </w:pPr>
      <w:r>
        <w:rPr>
          <w:rFonts w:ascii="Cambria" w:cs="Cambria" w:eastAsia="Cambria" w:hAnsi="Cambria"/>
          <w:b/>
          <w:bCs/>
          <w:color w:val="1E2A44"/>
          <w:sz w:val="32"/>
          <w:szCs w:val="32"/>
        </w:rPr>
        <w:t xml:space="preserve">4.  Complete Review Status</w:t>
      </w:r>
    </w:p>
    <w:p>
      <w:pPr>
        <w:spacing w:after="140" w:line="300"/>
      </w:pPr>
      <w:r>
        <w:rPr>
          <w:rFonts w:ascii="Calibri" w:cs="Calibri" w:eastAsia="Calibri" w:hAnsi="Calibri"/>
          <w:b w:val="false"/>
          <w:bCs w:val="false"/>
          <w:i w:val="false"/>
          <w:iCs w:val="false"/>
          <w:color w:val="1A1A1A"/>
          <w:sz w:val="22"/>
          <w:szCs w:val="22"/>
        </w:rPr>
        <w:t xml:space="preserve">Organized as the review was conducted: first the pipeline's methodological soundness, then the manuscript's readability.</w:t>
      </w:r>
    </w:p>
    <w:p>
      <w:pPr>
        <w:pStyle w:val="Heading2"/>
        <w:spacing w:after="140" w:before="320"/>
      </w:pPr>
      <w:r>
        <w:rPr>
          <w:rFonts w:ascii="Cambria" w:cs="Cambria" w:eastAsia="Cambria" w:hAnsi="Cambria"/>
          <w:b/>
          <w:bCs/>
          <w:color w:val="1E2A44"/>
          <w:sz w:val="25"/>
          <w:szCs w:val="25"/>
        </w:rPr>
        <w:t xml:space="preserve">4.1  Methodology track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F2F4F9" w:val="clear"/>
            <w:tcMar>
              <w:top w:type="dxa" w:w="60"/>
              <w:left w:type="dxa" w:w="120"/>
              <w:bottom w:type="dxa" w:w="60"/>
              <w:right w:type="dxa" w:w="120"/>
            </w:tcMar>
          </w:tcPr>
          <w:p>
            <w:r>
              <w:rPr>
                <w:rFonts w:ascii="Calibri" w:cs="Calibri" w:eastAsia="Calibri" w:hAnsi="Calibri"/>
                <w:b/>
                <w:bCs/>
                <w:color w:val="5B6478"/>
                <w:sz w:val="18"/>
                <w:szCs w:val="18"/>
              </w:rPr>
              <w:t xml:space="preserve">Finding</w:t>
            </w:r>
          </w:p>
        </w:tc>
        <w:tc>
          <w:tcPr>
            <w:tcW w:type="dxa" w:w="3000"/>
            <w:shd w:fill="F2F4F9" w:val="clear"/>
            <w:tcMar>
              <w:top w:type="dxa" w:w="60"/>
              <w:left w:type="dxa" w:w="120"/>
              <w:bottom w:type="dxa" w:w="60"/>
              <w:right w:type="dxa" w:w="120"/>
            </w:tcMar>
          </w:tcPr>
          <w:p>
            <w:pPr>
              <w:jc w:val="center"/>
            </w:pPr>
            <w:r>
              <w:rPr>
                <w:rFonts w:ascii="Calibri" w:cs="Calibri" w:eastAsia="Calibri" w:hAnsi="Calibri"/>
                <w:b/>
                <w:bCs/>
                <w:color w:val="5B6478"/>
                <w:sz w:val="18"/>
                <w:szCs w:val="18"/>
              </w:rPr>
              <w:t xml:space="preserve">Status</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“Independent metrics” claim contradicted the paper's own text</w:t>
            </w:r>
          </w:p>
          <w:p>
            <w:r>
              <w:rPr>
                <w:rFonts w:ascii="Consolas" w:cs="Consolas" w:eastAsia="Consolas" w:hAnsi="Consolas"/>
                <w:color w:val="5B6478"/>
                <w:sz w:val="15"/>
                <w:szCs w:val="15"/>
              </w:rPr>
              <w:t xml:space="preserve">§I, Contributions</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“Ambiguous” gap class used in Results, never defined in Methods</w:t>
            </w:r>
          </w:p>
          <w:p>
            <w:r>
              <w:rPr>
                <w:rFonts w:ascii="Consolas" w:cs="Consolas" w:eastAsia="Consolas" w:hAnsi="Consolas"/>
                <w:color w:val="5B6478"/>
                <w:sz w:val="15"/>
                <w:szCs w:val="15"/>
              </w:rPr>
              <w:t xml:space="preserve">§III-A / §IV-A</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Threshold-sensitivity claim was one unsupported sentence</w:t>
            </w:r>
          </w:p>
          <w:p>
            <w:r>
              <w:rPr>
                <w:rFonts w:ascii="Consolas" w:cs="Consolas" w:eastAsia="Consolas" w:hAnsi="Consolas"/>
                <w:color w:val="5B6478"/>
                <w:sz w:val="15"/>
                <w:szCs w:val="15"/>
              </w:rPr>
              <w:t xml:space="preserve">§IV-A</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Ablation table hides train-vs-validation overfitting risk</w:t>
            </w:r>
          </w:p>
          <w:p>
            <w:r>
              <w:rPr>
                <w:rFonts w:ascii="Consolas" w:cs="Consolas" w:eastAsia="Consolas" w:hAnsi="Consolas"/>
                <w:color w:val="5B6478"/>
                <w:sz w:val="15"/>
                <w:szCs w:val="15"/>
              </w:rPr>
              <w:t xml:space="preserve">§IV-C, Table I</w:t>
            </w:r>
          </w:p>
        </w:tc>
        <w:tc>
          <w:tcPr>
            <w:tcW w:type="dxa" w:w="2000"/>
            <w:shd w:fill="FBEEDD" w:val="clear"/>
            <w:tcMar>
              <w:top w:type="dxa" w:w="60"/>
              <w:left w:type="dxa" w:w="100"/>
              <w:bottom w:type="dxa" w:w="60"/>
              <w:right w:type="dxa" w:w="100"/>
            </w:tcMar>
            <w:vAlign w:val="center"/>
          </w:tcPr>
          <w:p>
            <w:pPr>
              <w:jc w:val="center"/>
            </w:pPr>
            <w:r>
              <w:rPr>
                <w:rFonts w:ascii="Consolas" w:cs="Consolas" w:eastAsia="Consolas" w:hAnsi="Consolas"/>
                <w:b/>
                <w:bCs/>
                <w:color w:val="8A4F14"/>
                <w:sz w:val="16"/>
                <w:szCs w:val="16"/>
              </w:rPr>
              <w:t xml:space="preserve">PARTIAL</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Twin-gate independence asserted, not explained</w:t>
            </w:r>
          </w:p>
          <w:p>
            <w:r>
              <w:rPr>
                <w:rFonts w:ascii="Consolas" w:cs="Consolas" w:eastAsia="Consolas" w:hAnsi="Consolas"/>
                <w:color w:val="5B6478"/>
                <w:sz w:val="15"/>
                <w:szCs w:val="15"/>
              </w:rPr>
              <w:t xml:space="preserve">§III-D</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Conclusion's opening claim overclaimed generalization</w:t>
            </w:r>
          </w:p>
          <w:p>
            <w:r>
              <w:rPr>
                <w:rFonts w:ascii="Consolas" w:cs="Consolas" w:eastAsia="Consolas" w:hAnsi="Consolas"/>
                <w:color w:val="5B6478"/>
                <w:sz w:val="15"/>
                <w:szCs w:val="15"/>
              </w:rPr>
              <w:t xml:space="preserve">§VI</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No deployment satisfied all three criteria vs. Table I's bolded “No”</w:t>
            </w:r>
          </w:p>
          <w:p>
            <w:r>
              <w:rPr>
                <w:rFonts w:ascii="Consolas" w:cs="Consolas" w:eastAsia="Consolas" w:hAnsi="Consolas"/>
                <w:color w:val="5B6478"/>
                <w:sz w:val="15"/>
                <w:szCs w:val="15"/>
              </w:rPr>
              <w:t xml:space="preserve">Abstract, Table I, §III</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Limitations section lists distant weaknesses, not the nearest</w:t>
            </w:r>
          </w:p>
          <w:p>
            <w:r>
              <w:rPr>
                <w:rFonts w:ascii="Consolas" w:cs="Consolas" w:eastAsia="Consolas" w:hAnsi="Consolas"/>
                <w:color w:val="5B6478"/>
                <w:sz w:val="15"/>
                <w:szCs w:val="15"/>
              </w:rPr>
              <w:t xml:space="preserve">§VI-A</w:t>
            </w:r>
          </w:p>
        </w:tc>
        <w:tc>
          <w:tcPr>
            <w:tcW w:type="dxa" w:w="2000"/>
            <w:shd w:fill="F8E7EC" w:val="clear"/>
            <w:tcMar>
              <w:top w:type="dxa" w:w="60"/>
              <w:left w:type="dxa" w:w="100"/>
              <w:bottom w:type="dxa" w:w="60"/>
              <w:right w:type="dxa" w:w="100"/>
            </w:tcMar>
            <w:vAlign w:val="center"/>
          </w:tcPr>
          <w:p>
            <w:pPr>
              <w:jc w:val="center"/>
            </w:pPr>
            <w:r>
              <w:rPr>
                <w:rFonts w:ascii="Consolas" w:cs="Consolas" w:eastAsia="Consolas" w:hAnsi="Consolas"/>
                <w:b/>
                <w:bCs/>
                <w:color w:val="8A2F44"/>
                <w:sz w:val="16"/>
                <w:szCs w:val="16"/>
              </w:rPr>
              <w:t xml:space="preserve">OPEN</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Gate 2's narrative read as pure accuracy-chasing</w:t>
            </w:r>
          </w:p>
          <w:p>
            <w:r>
              <w:rPr>
                <w:rFonts w:ascii="Consolas" w:cs="Consolas" w:eastAsia="Consolas" w:hAnsi="Consolas"/>
                <w:color w:val="5B6478"/>
                <w:sz w:val="15"/>
                <w:szCs w:val="15"/>
              </w:rPr>
              <w:t xml:space="preserve">§IV-C</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MAE objective never stated as a proxy for the real goal</w:t>
            </w:r>
          </w:p>
          <w:p>
            <w:r>
              <w:rPr>
                <w:rFonts w:ascii="Consolas" w:cs="Consolas" w:eastAsia="Consolas" w:hAnsi="Consolas"/>
                <w:color w:val="5B6478"/>
                <w:sz w:val="15"/>
                <w:szCs w:val="15"/>
              </w:rPr>
              <w:t xml:space="preserve">§III-C-3</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Missing OSM-grounded tower-position plausibility check</w:t>
            </w:r>
          </w:p>
          <w:p>
            <w:r>
              <w:rPr>
                <w:rFonts w:ascii="Consolas" w:cs="Consolas" w:eastAsia="Consolas" w:hAnsi="Consolas"/>
                <w:color w:val="5B6478"/>
                <w:sz w:val="15"/>
                <w:szCs w:val="15"/>
              </w:rPr>
              <w:t xml:space="preserve">§IV-C</w:t>
            </w:r>
          </w:p>
        </w:tc>
        <w:tc>
          <w:tcPr>
            <w:tcW w:type="dxa" w:w="2000"/>
            <w:shd w:fill="FBEEDD" w:val="clear"/>
            <w:tcMar>
              <w:top w:type="dxa" w:w="60"/>
              <w:left w:type="dxa" w:w="100"/>
              <w:bottom w:type="dxa" w:w="60"/>
              <w:right w:type="dxa" w:w="100"/>
            </w:tcMar>
            <w:vAlign w:val="center"/>
          </w:tcPr>
          <w:p>
            <w:pPr>
              <w:jc w:val="center"/>
            </w:pPr>
            <w:r>
              <w:rPr>
                <w:rFonts w:ascii="Consolas" w:cs="Consolas" w:eastAsia="Consolas" w:hAnsi="Consolas"/>
                <w:b/>
                <w:bCs/>
                <w:color w:val="8A4F14"/>
                <w:sz w:val="16"/>
                <w:szCs w:val="16"/>
              </w:rPr>
              <w:t xml:space="preserve">BLOCKED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“Physics, not curve-fitting” argument risked circularity</w:t>
            </w:r>
          </w:p>
          <w:p>
            <w:r>
              <w:rPr>
                <w:rFonts w:ascii="Consolas" w:cs="Consolas" w:eastAsia="Consolas" w:hAnsi="Consolas"/>
                <w:color w:val="5B6478"/>
                <w:sz w:val="15"/>
                <w:szCs w:val="15"/>
              </w:rPr>
              <w:t xml:space="preserve">§V-A</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bl>
    <w:p>
      <w:pPr>
        <w:pStyle w:val="Heading2"/>
        <w:spacing w:after="140" w:before="320"/>
      </w:pPr>
      <w:r>
        <w:rPr>
          <w:rFonts w:ascii="Cambria" w:cs="Cambria" w:eastAsia="Cambria" w:hAnsi="Cambria"/>
          <w:b/>
          <w:bCs/>
          <w:color w:val="1E2A44"/>
          <w:sz w:val="25"/>
          <w:szCs w:val="25"/>
        </w:rPr>
        <w:t xml:space="preserve">4.2  Curation track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F2F4F9" w:val="clear"/>
            <w:tcMar>
              <w:top w:type="dxa" w:w="60"/>
              <w:left w:type="dxa" w:w="120"/>
              <w:bottom w:type="dxa" w:w="60"/>
              <w:right w:type="dxa" w:w="120"/>
            </w:tcMar>
          </w:tcPr>
          <w:p>
            <w:r>
              <w:rPr>
                <w:rFonts w:ascii="Calibri" w:cs="Calibri" w:eastAsia="Calibri" w:hAnsi="Calibri"/>
                <w:b/>
                <w:bCs/>
                <w:color w:val="5B6478"/>
                <w:sz w:val="18"/>
                <w:szCs w:val="18"/>
              </w:rPr>
              <w:t xml:space="preserve">Finding</w:t>
            </w:r>
          </w:p>
        </w:tc>
        <w:tc>
          <w:tcPr>
            <w:tcW w:type="dxa" w:w="3000"/>
            <w:shd w:fill="F2F4F9" w:val="clear"/>
            <w:tcMar>
              <w:top w:type="dxa" w:w="60"/>
              <w:left w:type="dxa" w:w="120"/>
              <w:bottom w:type="dxa" w:w="60"/>
              <w:right w:type="dxa" w:w="120"/>
            </w:tcMar>
          </w:tcPr>
          <w:p>
            <w:pPr>
              <w:jc w:val="center"/>
            </w:pPr>
            <w:r>
              <w:rPr>
                <w:rFonts w:ascii="Calibri" w:cs="Calibri" w:eastAsia="Calibri" w:hAnsi="Calibri"/>
                <w:b/>
                <w:bCs/>
                <w:color w:val="5B6478"/>
                <w:sz w:val="18"/>
                <w:szCs w:val="18"/>
              </w:rPr>
              <w:t xml:space="preserve">Status</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“Layers” vs. “Gates” vocabulary never reconciled</w:t>
            </w:r>
          </w:p>
          <w:p>
            <w:r>
              <w:rPr>
                <w:rFonts w:ascii="Consolas" w:cs="Consolas" w:eastAsia="Consolas" w:hAnsi="Consolas"/>
                <w:color w:val="5B6478"/>
                <w:sz w:val="15"/>
                <w:szCs w:val="15"/>
              </w:rPr>
              <w:t xml:space="preserve">§III</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“Each validated on a held-out split” overclaimed a pass</w:t>
            </w:r>
          </w:p>
          <w:p>
            <w:r>
              <w:rPr>
                <w:rFonts w:ascii="Consolas" w:cs="Consolas" w:eastAsia="Consolas" w:hAnsi="Consolas"/>
                <w:color w:val="5B6478"/>
                <w:sz w:val="15"/>
                <w:szCs w:val="15"/>
              </w:rPr>
              <w:t xml:space="preserve">§I, Contributions</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Abstract's final sentence was a 70-word run-on</w:t>
            </w:r>
          </w:p>
          <w:p>
            <w:r>
              <w:rPr>
                <w:rFonts w:ascii="Consolas" w:cs="Consolas" w:eastAsia="Consolas" w:hAnsi="Consolas"/>
                <w:color w:val="5B6478"/>
                <w:sz w:val="15"/>
                <w:szCs w:val="15"/>
              </w:rPr>
              <w:t xml:space="preserve">Abstract</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Beyraghi/Rauf contrast set up, never paid off</w:t>
            </w:r>
          </w:p>
          <w:p>
            <w:r>
              <w:rPr>
                <w:rFonts w:ascii="Consolas" w:cs="Consolas" w:eastAsia="Consolas" w:hAnsi="Consolas"/>
                <w:color w:val="5B6478"/>
                <w:sz w:val="15"/>
                <w:szCs w:val="15"/>
              </w:rPr>
              <w:t xml:space="preserve">§I / §V-A</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“Coupling” vs. “Convergence” naming split never flagged</w:t>
            </w:r>
          </w:p>
          <w:p>
            <w:r>
              <w:rPr>
                <w:rFonts w:ascii="Consolas" w:cs="Consolas" w:eastAsia="Consolas" w:hAnsi="Consolas"/>
                <w:color w:val="5B6478"/>
                <w:sz w:val="15"/>
                <w:szCs w:val="15"/>
              </w:rPr>
              <w:t xml:space="preserve">§III-D / §IV-B</w:t>
            </w:r>
          </w:p>
        </w:tc>
        <w:tc>
          <w:tcPr>
            <w:tcW w:type="dxa" w:w="2000"/>
            <w:shd w:fill="E8EDF9" w:val="clear"/>
            <w:tcMar>
              <w:top w:type="dxa" w:w="60"/>
              <w:left w:type="dxa" w:w="100"/>
              <w:bottom w:type="dxa" w:w="60"/>
              <w:right w:type="dxa" w:w="100"/>
            </w:tcMar>
            <w:vAlign w:val="center"/>
          </w:tcPr>
          <w:p>
            <w:pPr>
              <w:jc w:val="center"/>
            </w:pPr>
            <w:r>
              <w:rPr>
                <w:rFonts w:ascii="Consolas" w:cs="Consolas" w:eastAsia="Consolas" w:hAnsi="Consolas"/>
                <w:b/>
                <w:bCs/>
                <w:color w:val="2C4A82"/>
                <w:sz w:val="16"/>
                <w:szCs w:val="16"/>
              </w:rPr>
              <w:t xml:space="preserve">DECISION</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§V-A re-derives numbers already stated before its new argument</w:t>
            </w:r>
          </w:p>
          <w:p>
            <w:r>
              <w:rPr>
                <w:rFonts w:ascii="Consolas" w:cs="Consolas" w:eastAsia="Consolas" w:hAnsi="Consolas"/>
                <w:color w:val="5B6478"/>
                <w:sz w:val="15"/>
                <w:szCs w:val="15"/>
              </w:rPr>
              <w:t xml:space="preserve">§V-A</w:t>
            </w:r>
          </w:p>
        </w:tc>
        <w:tc>
          <w:tcPr>
            <w:tcW w:type="dxa" w:w="2000"/>
            <w:shd w:fill="F8E7EC" w:val="clear"/>
            <w:tcMar>
              <w:top w:type="dxa" w:w="60"/>
              <w:left w:type="dxa" w:w="100"/>
              <w:bottom w:type="dxa" w:w="60"/>
              <w:right w:type="dxa" w:w="100"/>
            </w:tcMar>
            <w:vAlign w:val="center"/>
          </w:tcPr>
          <w:p>
            <w:pPr>
              <w:jc w:val="center"/>
            </w:pPr>
            <w:r>
              <w:rPr>
                <w:rFonts w:ascii="Consolas" w:cs="Consolas" w:eastAsia="Consolas" w:hAnsi="Consolas"/>
                <w:b/>
                <w:bCs/>
                <w:color w:val="8A2F44"/>
                <w:sz w:val="16"/>
                <w:szCs w:val="16"/>
              </w:rPr>
              <w:t xml:space="preserve">OPEN</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Paper's best thesis sentence was buried in the Conclusion</w:t>
            </w:r>
          </w:p>
          <w:p>
            <w:r>
              <w:rPr>
                <w:rFonts w:ascii="Consolas" w:cs="Consolas" w:eastAsia="Consolas" w:hAnsi="Consolas"/>
                <w:color w:val="5B6478"/>
                <w:sz w:val="15"/>
                <w:szCs w:val="15"/>
              </w:rPr>
              <w:t xml:space="preserve">§I / §VI</w:t>
            </w:r>
          </w:p>
        </w:tc>
        <w:tc>
          <w:tcPr>
            <w:tcW w:type="dxa" w:w="2000"/>
            <w:shd w:fill="E5F3EA" w:val="clear"/>
            <w:tcMar>
              <w:top w:type="dxa" w:w="60"/>
              <w:left w:type="dxa" w:w="100"/>
              <w:bottom w:type="dxa" w:w="60"/>
              <w:right w:type="dxa" w:w="100"/>
            </w:tcMar>
            <w:vAlign w:val="center"/>
          </w:tcPr>
          <w:p>
            <w:pPr>
              <w:jc w:val="center"/>
            </w:pPr>
            <w:r>
              <w:rPr>
                <w:rFonts w:ascii="Consolas" w:cs="Consolas" w:eastAsia="Consolas" w:hAnsi="Consolas"/>
                <w:b/>
                <w:bCs/>
                <w:color w:val="2F7D4F"/>
                <w:sz w:val="16"/>
                <w:szCs w:val="16"/>
              </w:rPr>
              <w:t xml:space="preserve">FIXED</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Op. 1's “single vehicle” phrasing reads in tension with TypeB's definition</w:t>
            </w:r>
          </w:p>
          <w:p>
            <w:r>
              <w:rPr>
                <w:rFonts w:ascii="Consolas" w:cs="Consolas" w:eastAsia="Consolas" w:hAnsi="Consolas"/>
                <w:color w:val="5B6478"/>
                <w:sz w:val="15"/>
                <w:szCs w:val="15"/>
              </w:rPr>
              <w:t xml:space="preserve">§IV-C</w:t>
            </w:r>
          </w:p>
        </w:tc>
        <w:tc>
          <w:tcPr>
            <w:tcW w:type="dxa" w:w="2000"/>
            <w:shd w:fill="F8E7EC" w:val="clear"/>
            <w:tcMar>
              <w:top w:type="dxa" w:w="60"/>
              <w:left w:type="dxa" w:w="100"/>
              <w:bottom w:type="dxa" w:w="60"/>
              <w:right w:type="dxa" w:w="100"/>
            </w:tcMar>
            <w:vAlign w:val="center"/>
          </w:tcPr>
          <w:p>
            <w:pPr>
              <w:jc w:val="center"/>
            </w:pPr>
            <w:r>
              <w:rPr>
                <w:rFonts w:ascii="Consolas" w:cs="Consolas" w:eastAsia="Consolas" w:hAnsi="Consolas"/>
                <w:b/>
                <w:bCs/>
                <w:color w:val="8A2F44"/>
                <w:sz w:val="16"/>
                <w:szCs w:val="16"/>
              </w:rPr>
              <w:t xml:space="preserve">OPEN</w:t>
            </w:r>
          </w:p>
        </w:tc>
      </w:tr>
      <w:tr>
        <w:tc>
          <w:tcPr>
            <w:tcW w:type="dxa" w:w="6350"/>
            <w:tcMar>
              <w:top w:type="dxa" w:w="80"/>
              <w:left w:type="dxa" w:w="120"/>
              <w:bottom w:type="dxa" w:w="80"/>
              <w:right w:type="dxa" w:w="120"/>
            </w:tcMar>
            <w:vAlign w:val="center"/>
          </w:tcPr>
          <w:p>
            <w:r>
              <w:rPr>
                <w:rFonts w:ascii="Calibri" w:cs="Calibri" w:eastAsia="Calibri" w:hAnsi="Calibri"/>
                <w:b w:val="false"/>
                <w:bCs w:val="false"/>
                <w:color w:val="1A1A1A"/>
                <w:sz w:val="20"/>
                <w:szCs w:val="20"/>
              </w:rPr>
              <w:t xml:space="preserve">Table/figure narration — reviewed, already a strength</w:t>
            </w:r>
          </w:p>
          <w:p>
            <w:r>
              <w:rPr>
                <w:rFonts w:ascii="Consolas" w:cs="Consolas" w:eastAsia="Consolas" w:hAnsi="Consolas"/>
                <w:color w:val="5B6478"/>
                <w:sz w:val="15"/>
                <w:szCs w:val="15"/>
              </w:rPr>
              <w:t xml:space="preserve">Tables I &amp; II</w:t>
            </w:r>
          </w:p>
        </w:tc>
        <w:tc>
          <w:tcPr>
            <w:tcW w:type="dxa" w:w="2000"/>
            <w:shd w:fill="EEF0F4" w:val="clear"/>
            <w:tcMar>
              <w:top w:type="dxa" w:w="60"/>
              <w:left w:type="dxa" w:w="100"/>
              <w:bottom w:type="dxa" w:w="60"/>
              <w:right w:type="dxa" w:w="100"/>
            </w:tcMar>
            <w:vAlign w:val="center"/>
          </w:tcPr>
          <w:p>
            <w:pPr>
              <w:jc w:val="center"/>
            </w:pPr>
            <w:r>
              <w:rPr>
                <w:rFonts w:ascii="Consolas" w:cs="Consolas" w:eastAsia="Consolas" w:hAnsi="Consolas"/>
                <w:b/>
                <w:bCs/>
                <w:color w:val="6B7280"/>
                <w:sz w:val="16"/>
                <w:szCs w:val="16"/>
              </w:rPr>
              <w:t xml:space="preserve">NO ACTION</w:t>
            </w:r>
          </w:p>
        </w:tc>
      </w:tr>
    </w:tbl>
    <w:p>
      <w:pPr>
        <w:pStyle w:val="Heading1"/>
        <w:spacing w:after="200" w:before="480"/>
      </w:pPr>
      <w:r>
        <w:rPr>
          <w:rFonts w:ascii="Cambria" w:cs="Cambria" w:eastAsia="Cambria" w:hAnsi="Cambria"/>
          <w:b/>
          <w:bCs/>
          <w:color w:val="1E2A44"/>
          <w:sz w:val="32"/>
          <w:szCs w:val="32"/>
        </w:rPr>
        <w:t xml:space="preserve">5.  Items Pending Computational Resources</w:t>
      </w:r>
    </w:p>
    <w:p>
      <w:pPr>
        <w:spacing w:after="140" w:line="300"/>
      </w:pPr>
      <w:r>
        <w:rPr>
          <w:rFonts w:ascii="Calibri" w:cs="Calibri" w:eastAsia="Calibri" w:hAnsi="Calibri"/>
          <w:b w:val="false"/>
          <w:bCs w:val="false"/>
          <w:i w:val="false"/>
          <w:iCs w:val="false"/>
          <w:color w:val="1A1A1A"/>
          <w:sz w:val="22"/>
          <w:szCs w:val="22"/>
        </w:rPr>
        <w:t xml:space="preserve">Two findings remain unresolved for a common reason: both require a complete rerun of the localization pipeline on a machine with GPU and Sionna access, unavailable in this review environment. No substitute or approximated result was used in place of that rerun.</w:t>
      </w:r>
    </w:p>
    <w:p>
      <w:pPr>
        <w:pStyle w:val="Heading2"/>
        <w:spacing w:after="140" w:before="320"/>
      </w:pPr>
      <w:r>
        <w:rPr>
          <w:rFonts w:ascii="Cambria" w:cs="Cambria" w:eastAsia="Cambria" w:hAnsi="Cambria"/>
          <w:b/>
          <w:bCs/>
          <w:color w:val="1E2A44"/>
          <w:sz w:val="25"/>
          <w:szCs w:val="25"/>
        </w:rPr>
        <w:t xml:space="preserve">5.1  Real train-versus-validation MAE for Table I</w:t>
      </w:r>
    </w:p>
    <w:p>
      <w:pPr>
        <w:spacing w:after="140" w:line="300"/>
      </w:pPr>
      <w:r>
        <w:rPr>
          <w:rFonts w:ascii="Calibri" w:cs="Calibri" w:eastAsia="Calibri" w:hAnsi="Calibri"/>
          <w:b w:val="false"/>
          <w:bCs w:val="false"/>
          <w:i w:val="false"/>
          <w:iCs w:val="false"/>
          <w:color w:val="1A1A1A"/>
          <w:sz w:val="22"/>
          <w:szCs w:val="22"/>
        </w:rPr>
        <w:t xml:space="preserve">The checked-in per-tower result files do not reproduce Table I's own published numbers (3.36 dB recomputed versus the published 4.04 dB; one device's file is missing entirely). The full pipeline must be rerun on all four devices and confirmed to reproduce the published table before a genuine training-fit column can be added.</w:t>
      </w:r>
    </w:p>
    <w:p>
      <w:pPr>
        <w:pStyle w:val="Heading2"/>
        <w:spacing w:after="140" w:before="320"/>
      </w:pPr>
      <w:r>
        <w:rPr>
          <w:rFonts w:ascii="Cambria" w:cs="Cambria" w:eastAsia="Cambria" w:hAnsi="Cambria"/>
          <w:b/>
          <w:bCs/>
          <w:color w:val="1E2A44"/>
          <w:sz w:val="25"/>
          <w:szCs w:val="25"/>
        </w:rPr>
        <w:t xml:space="preserve">5.2  Per-tower position plausibility against real map data</w:t>
      </w:r>
    </w:p>
    <w:p>
      <w:pPr>
        <w:spacing w:after="140" w:line="300"/>
      </w:pPr>
      <w:r>
        <w:rPr>
          <w:rFonts w:ascii="Calibri" w:cs="Calibri" w:eastAsia="Calibri" w:hAnsi="Calibri"/>
          <w:b w:val="false"/>
          <w:bCs w:val="false"/>
          <w:i w:val="false"/>
          <w:iCs w:val="false"/>
          <w:color w:val="1A1A1A"/>
          <w:sz w:val="22"/>
          <w:szCs w:val="22"/>
        </w:rPr>
        <w:t xml:space="preserve">This item requires the same complete tower coordinates as above, plus real OpenStreetMap building geometry. Six different map-data servers were tested directly from this environment; all six are blocked by network policy here. Both items unblock together once the rerun is performed in an environment with GPU and network access.</w:t>
      </w:r>
    </w:p>
    <w:p>
      <w:r>
        <w:br w:type="page"/>
      </w:r>
    </w:p>
    <w:p>
      <w:pPr>
        <w:pStyle w:val="Heading1"/>
        <w:spacing w:after="200" w:before="480"/>
      </w:pPr>
      <w:r>
        <w:rPr>
          <w:rFonts w:ascii="Cambria" w:cs="Cambria" w:eastAsia="Cambria" w:hAnsi="Cambria"/>
          <w:b/>
          <w:bCs/>
          <w:color w:val="1E2A44"/>
          <w:sz w:val="32"/>
          <w:szCs w:val="32"/>
        </w:rPr>
        <w:t xml:space="preserve">6.  Decisions Requested</w:t>
      </w:r>
    </w:p>
    <w:p>
      <w:pPr>
        <w:spacing w:after="140" w:line="300"/>
      </w:pPr>
      <w:r>
        <w:rPr>
          <w:rFonts w:ascii="Calibri" w:cs="Calibri" w:eastAsia="Calibri" w:hAnsi="Calibri"/>
          <w:b w:val="false"/>
          <w:bCs w:val="false"/>
          <w:i w:val="false"/>
          <w:iCs w:val="false"/>
          <w:color w:val="1A1A1A"/>
          <w:sz w:val="22"/>
          <w:szCs w:val="22"/>
        </w:rPr>
        <w:t xml:space="preserve">Three questions require a decision before the review proceeds further.</w:t>
      </w:r>
    </w:p>
    <w:p>
      <w:pPr>
        <w:pStyle w:val="Heading2"/>
        <w:spacing w:after="140" w:before="320"/>
      </w:pPr>
      <w:r>
        <w:rPr>
          <w:rFonts w:ascii="Cambria" w:cs="Cambria" w:eastAsia="Cambria" w:hAnsi="Cambria"/>
          <w:b/>
          <w:bCs/>
          <w:color w:val="1E2A44"/>
          <w:sz w:val="25"/>
          <w:szCs w:val="25"/>
        </w:rPr>
        <w:t xml:space="preserve">6.1  Should the Contributions section name C, M1, and M2 by symbol?</w:t>
      </w:r>
    </w:p>
    <w:p>
      <w:pPr>
        <w:spacing w:after="140" w:line="300"/>
      </w:pPr>
      <w:r>
        <w:rPr>
          <w:rFonts w:ascii="Calibri" w:cs="Calibri" w:eastAsia="Calibri" w:hAnsi="Calibri"/>
          <w:b w:val="false"/>
          <w:bCs w:val="false"/>
          <w:i w:val="false"/>
          <w:iCs w:val="false"/>
          <w:color w:val="1A1A1A"/>
          <w:sz w:val="22"/>
          <w:szCs w:val="22"/>
        </w:rPr>
        <w:t xml:space="preserve">Contribution 1 currently introduces all three metrics by name and briefly defines what each measures, meaning a reader encounters notation before any result has been presented. The alternative is to keep the Contributions section purely narrative — two gates, two independent evidence sources, twin-gate convergence — and move the formal C/M1/M2 definitions entirely into the Method section, where they are defined in full regardless.</w:t>
      </w:r>
    </w:p>
    <w:p>
      <w:pPr>
        <w:pStyle w:val="ListParagraph"/>
        <w:numPr>
          <w:ilvl w:val="0"/>
          <w:numId w:val="3"/>
        </w:numPr>
        <w:spacing w:after="90" w:line="280"/>
      </w:pPr>
      <w:r>
        <w:rPr>
          <w:rFonts w:ascii="Calibri" w:cs="Calibri" w:eastAsia="Calibri" w:hAnsi="Calibri"/>
          <w:color w:val="1A1A1A"/>
          <w:sz w:val="21"/>
          <w:szCs w:val="21"/>
        </w:rPr>
        <w:t xml:space="preserve">Retain current wording: a reviewer consulting only the Contributions section still encounters the concrete metrics, at the cost of introducing notation before its motivation.</w:t>
      </w:r>
    </w:p>
    <w:p>
      <w:pPr>
        <w:pStyle w:val="ListParagraph"/>
        <w:numPr>
          <w:ilvl w:val="0"/>
          <w:numId w:val="3"/>
        </w:numPr>
        <w:spacing w:after="90" w:line="280"/>
      </w:pPr>
      <w:r>
        <w:rPr>
          <w:rFonts w:ascii="Calibri" w:cs="Calibri" w:eastAsia="Calibri" w:hAnsi="Calibri"/>
          <w:color w:val="1A1A1A"/>
          <w:sz w:val="21"/>
          <w:szCs w:val="21"/>
        </w:rPr>
        <w:t xml:space="preserve">Move to the Method section: the Contributions section reads as a narrative summary; the metrics are defined once, in full, at their point of first use.</w:t>
      </w:r>
    </w:p>
    <w:p>
      <w:pPr>
        <w:pStyle w:val="Heading2"/>
        <w:spacing w:after="140" w:before="320"/>
      </w:pPr>
      <w:r>
        <w:rPr>
          <w:rFonts w:ascii="Cambria" w:cs="Cambria" w:eastAsia="Cambria" w:hAnsi="Cambria"/>
          <w:b/>
          <w:bCs/>
          <w:color w:val="1E2A44"/>
          <w:sz w:val="25"/>
          <w:szCs w:val="25"/>
        </w:rPr>
        <w:t xml:space="preserve">6.2  Is the revised accuracy argument sufficiently supported?</w:t>
      </w:r>
    </w:p>
    <w:p>
      <w:pPr>
        <w:spacing w:after="140" w:line="300"/>
      </w:pPr>
      <w:r>
        <w:rPr>
          <w:rFonts w:ascii="Calibri" w:cs="Calibri" w:eastAsia="Calibri" w:hAnsi="Calibri"/>
          <w:b w:val="false"/>
          <w:bCs w:val="false"/>
          <w:i w:val="false"/>
          <w:iCs w:val="false"/>
          <w:color w:val="1A1A1A"/>
          <w:sz w:val="22"/>
          <w:szCs w:val="22"/>
        </w:rPr>
        <w:t xml:space="preserve">The full reasoning appears in Section 2 above. The two citations doing the work are 3GPP TS 36.133's own ±6 dB absolute accuracy bound (directly applicable, already used elsewhere in the manuscript) and MART-6G as corroborating context (a comparable calibrated ray-tracing digital-twin platform in the same error range, verified against its full text rather than a summary). Neither is V2X-specific. One candidate V2X-specific bound was identified and rejected: 3GPP TS 36.133 §9.10 (PSSCH-RSRP) is scoped to sidelink (PC5) communication, whereas this dataset is Uu-mode only, so it would not accurately apply.</w:t>
      </w:r>
    </w:p>
    <w:p>
      <w:pPr>
        <w:pStyle w:val="ListParagraph"/>
        <w:numPr>
          <w:ilvl w:val="0"/>
          <w:numId w:val="3"/>
        </w:numPr>
        <w:spacing w:after="90" w:line="280"/>
      </w:pPr>
      <w:r>
        <w:rPr>
          <w:rFonts w:ascii="Calibri" w:cs="Calibri" w:eastAsia="Calibri" w:hAnsi="Calibri"/>
          <w:color w:val="1A1A1A"/>
          <w:sz w:val="21"/>
          <w:szCs w:val="21"/>
        </w:rPr>
        <w:t xml:space="preserve">Retain current citations: both are correctly scoped and independently verified, though neither is V2X-specific.</w:t>
      </w:r>
    </w:p>
    <w:p>
      <w:pPr>
        <w:pStyle w:val="ListParagraph"/>
        <w:numPr>
          <w:ilvl w:val="0"/>
          <w:numId w:val="3"/>
        </w:numPr>
        <w:spacing w:after="90" w:line="280"/>
      </w:pPr>
      <w:r>
        <w:rPr>
          <w:rFonts w:ascii="Calibri" w:cs="Calibri" w:eastAsia="Calibri" w:hAnsi="Calibri"/>
          <w:color w:val="1A1A1A"/>
          <w:sz w:val="21"/>
          <w:szCs w:val="21"/>
        </w:rPr>
        <w:t xml:space="preserve">Pursue further literature review: a further, targeted review for a V2X- or C-V2X-specific digital-twin accuracy bound may be warranted before submission.</w:t>
      </w:r>
    </w:p>
    <w:p>
      <w:pPr>
        <w:pStyle w:val="Heading2"/>
        <w:spacing w:after="140" w:before="320"/>
      </w:pPr>
      <w:r>
        <w:rPr>
          <w:rFonts w:ascii="Cambria" w:cs="Cambria" w:eastAsia="Cambria" w:hAnsi="Cambria"/>
          <w:b/>
          <w:bCs/>
          <w:color w:val="1E2A44"/>
          <w:sz w:val="25"/>
          <w:szCs w:val="25"/>
        </w:rPr>
        <w:t xml:space="preserve">6.3  How directly should the Limitations section state the single-dead-zone evidence base?</w:t>
      </w:r>
    </w:p>
    <w:p>
      <w:pPr>
        <w:spacing w:after="140" w:line="300"/>
      </w:pPr>
      <w:r>
        <w:rPr>
          <w:rFonts w:ascii="Calibri" w:cs="Calibri" w:eastAsia="Calibri" w:hAnsi="Calibri"/>
          <w:b w:val="false"/>
          <w:bCs w:val="false"/>
          <w:i w:val="false"/>
          <w:iCs w:val="false"/>
          <w:color w:val="1A1A1A"/>
          <w:sz w:val="22"/>
          <w:szCs w:val="22"/>
        </w:rPr>
        <w:t xml:space="preserve">Every headline result — the completeness score, the multi-signal corroboration, and the twin-gate convergence result itself — is demonstrated against exactly one confirmed dead zone. Stating this plainly in the Limitations section, immediately before the Conclusion restates it as the paper's central claim, is accurate but carries genuine rhetorical risk: it could read as undermining the manuscript's own headline result one section before it is made.</w:t>
      </w:r>
    </w:p>
    <w:p>
      <w:pPr>
        <w:pStyle w:val="ListParagraph"/>
        <w:numPr>
          <w:ilvl w:val="0"/>
          <w:numId w:val="3"/>
        </w:numPr>
        <w:spacing w:after="90" w:line="280"/>
      </w:pPr>
      <w:r>
        <w:rPr>
          <w:rFonts w:ascii="Calibri" w:cs="Calibri" w:eastAsia="Calibri" w:hAnsi="Calibri"/>
          <w:color w:val="1A1A1A"/>
          <w:sz w:val="21"/>
          <w:szCs w:val="21"/>
        </w:rPr>
        <w:t xml:space="preserve">State it plainly: anticipates the objection a careful reviewer would otherwise raise independently.</w:t>
      </w:r>
    </w:p>
    <w:p>
      <w:pPr>
        <w:pStyle w:val="ListParagraph"/>
        <w:numPr>
          <w:ilvl w:val="0"/>
          <w:numId w:val="3"/>
        </w:numPr>
        <w:spacing w:after="90" w:line="280"/>
      </w:pPr>
      <w:r>
        <w:rPr>
          <w:rFonts w:ascii="Calibri" w:cs="Calibri" w:eastAsia="Calibri" w:hAnsi="Calibri"/>
          <w:color w:val="1A1A1A"/>
          <w:sz w:val="21"/>
          <w:szCs w:val="21"/>
        </w:rPr>
        <w:t xml:space="preserve">Soften the wording: retain the technical substance of the point without juxtaposing the phrase “central claim” directly against its own caveat.</w:t>
      </w:r>
    </w:p>
    <w:p>
      <w:pPr>
        <w:pStyle w:val="ListParagraph"/>
        <w:numPr>
          <w:ilvl w:val="0"/>
          <w:numId w:val="3"/>
        </w:numPr>
        <w:spacing w:after="90" w:line="280"/>
      </w:pPr>
      <w:r>
        <w:rPr>
          <w:rFonts w:ascii="Calibri" w:cs="Calibri" w:eastAsia="Calibri" w:hAnsi="Calibri"/>
          <w:color w:val="1A1A1A"/>
          <w:sz w:val="21"/>
          <w:szCs w:val="21"/>
        </w:rPr>
        <w:t xml:space="preserve">Defer: this item was deliberately sequenced last in the review; drafting it can proceed once the two preceding questions are resolved, as their outcomes may affect its wording.</w:t>
      </w:r>
    </w:p>
    <w:p>
      <w:pPr>
        <w:pStyle w:val="Heading1"/>
        <w:spacing w:after="200" w:before="480"/>
      </w:pPr>
      <w:r>
        <w:rPr>
          <w:rFonts w:ascii="Cambria" w:cs="Cambria" w:eastAsia="Cambria" w:hAnsi="Cambria"/>
          <w:b/>
          <w:bCs/>
          <w:color w:val="1E2A44"/>
          <w:sz w:val="32"/>
          <w:szCs w:val="32"/>
        </w:rPr>
        <w:t xml:space="preserve">7.  Next Steps</w:t>
      </w:r>
    </w:p>
    <w:p>
      <w:pPr>
        <w:spacing w:after="140" w:line="300"/>
      </w:pPr>
      <w:r>
        <w:rPr>
          <w:rFonts w:ascii="Calibri" w:cs="Calibri" w:eastAsia="Calibri" w:hAnsi="Calibri"/>
          <w:b w:val="false"/>
          <w:bCs w:val="false"/>
          <w:i w:val="false"/>
          <w:iCs w:val="false"/>
          <w:color w:val="1A1A1A"/>
          <w:sz w:val="22"/>
          <w:szCs w:val="22"/>
        </w:rPr>
        <w:t xml:space="preserve">Pending the decisions above, the following items are next in sequence.</w:t>
      </w:r>
    </w:p>
    <w:p>
      <w:pPr>
        <w:pStyle w:val="ListParagraph"/>
        <w:numPr>
          <w:ilvl w:val="0"/>
          <w:numId w:val="2"/>
        </w:numPr>
        <w:spacing w:after="100" w:line="280"/>
      </w:pPr>
      <w:r>
        <w:rPr>
          <w:rFonts w:ascii="Calibri" w:cs="Calibri" w:eastAsia="Calibri" w:hAnsi="Calibri"/>
          <w:color w:val="1A1A1A"/>
          <w:sz w:val="21"/>
          <w:szCs w:val="21"/>
        </w:rPr>
        <w:t xml:space="preserve">Coupling vs. Convergence naming — the least costly remaining edit; three options already drafted.</w:t>
      </w:r>
    </w:p>
    <w:p>
      <w:pPr>
        <w:pStyle w:val="ListParagraph"/>
        <w:numPr>
          <w:ilvl w:val="0"/>
          <w:numId w:val="2"/>
        </w:numPr>
        <w:spacing w:after="100" w:line="280"/>
      </w:pPr>
      <w:r>
        <w:rPr>
          <w:rFonts w:ascii="Calibri" w:cs="Calibri" w:eastAsia="Calibri" w:hAnsi="Calibri"/>
          <w:color w:val="1A1A1A"/>
          <w:sz w:val="21"/>
          <w:szCs w:val="21"/>
        </w:rPr>
        <w:t xml:space="preserve">Remaining polish items — trim a redundant recap in §V-A; clarify Operator 1's single-vehicle phrasing.</w:t>
      </w:r>
    </w:p>
    <w:p>
      <w:pPr>
        <w:pStyle w:val="ListParagraph"/>
        <w:numPr>
          <w:ilvl w:val="0"/>
          <w:numId w:val="2"/>
        </w:numPr>
        <w:spacing w:after="100" w:line="280"/>
      </w:pPr>
      <w:r>
        <w:rPr>
          <w:rFonts w:ascii="Calibri" w:cs="Calibri" w:eastAsia="Calibri" w:hAnsi="Calibri"/>
          <w:color w:val="1A1A1A"/>
          <w:sz w:val="21"/>
          <w:szCs w:val="21"/>
        </w:rPr>
        <w:t xml:space="preserve">Limitations section — pending resolution of Decision 6.3 above.</w:t>
      </w:r>
    </w:p>
    <w:p>
      <w:pPr>
        <w:pStyle w:val="ListParagraph"/>
        <w:numPr>
          <w:ilvl w:val="0"/>
          <w:numId w:val="2"/>
        </w:numPr>
        <w:spacing w:after="100" w:line="280"/>
      </w:pPr>
      <w:r>
        <w:rPr>
          <w:rFonts w:ascii="Calibri" w:cs="Calibri" w:eastAsia="Calibri" w:hAnsi="Calibri"/>
          <w:color w:val="1A1A1A"/>
          <w:sz w:val="21"/>
          <w:szCs w:val="21"/>
        </w:rPr>
        <w:t xml:space="preserve">GPU rerun — whenever an environment with GPU and Sionna access is available; unblocks both remaining data items together.</w:t>
      </w:r>
    </w:p>
    <w:p>
      <w:pPr>
        <w:pBdr>
          <w:top w:val="single" w:color="D9DEEC" w:sz="6" w:space="8"/>
        </w:pBdr>
        <w:spacing w:before="400"/>
      </w:pPr>
      <w:r>
        <w:rPr>
          <w:rFonts w:ascii="Consolas" w:cs="Consolas" w:eastAsia="Consolas" w:hAnsi="Consolas"/>
          <w:color w:val="5B6478"/>
          <w:sz w:val="16"/>
          <w:szCs w:val="16"/>
        </w:rPr>
        <w:t xml:space="preserve">Prepared from the review tracked in twingate/paper/reviews/TODO.md  ·  sahil-idk/vtc_2027  ·  branch claude/kind-babbage-i7d3l4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2026-09-22T13:24:45.260Z</dcterms:created>
  <dcterms:modified xsi:type="dcterms:W3CDTF">2026-09-22T13:24:45.260Z</dcterms:modified>
</cp:coreProperties>
</file>

<file path=docProps/custom.xml><?xml version="1.0" encoding="utf-8"?>
<Properties xmlns="http://schemas.openxmlformats.org/officeDocument/2006/custom-properties" xmlns:vt="http://schemas.openxmlformats.org/officeDocument/2006/docPropsVTypes"/>
</file>