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BOUND</w:t>
        <w:br/>
      </w:r>
      <w:r>
        <w:rPr>
          <w:b/>
          <w:sz w:val="36"/>
        </w:rPr>
        <w:t>Fixes &amp; Winning-Level Improvements</w:t>
      </w:r>
    </w:p>
    <w:p>
      <w:pPr>
        <w:jc w:val="center"/>
      </w:pPr>
      <w:r>
        <w:rPr>
          <w:i/>
        </w:rPr>
        <w:t>Razorpay AI Buildathon • Track 01 — AI Growth &amp; Agentic Commerce</w:t>
      </w:r>
    </w:p>
    <w:p>
      <w:pPr>
        <w:pStyle w:val="Heading1"/>
      </w:pPr>
      <w:r>
        <w:t>Executive Verdict</w:t>
      </w:r>
    </w:p>
    <w:p>
      <w:r>
        <w:t>Keep the core BOUND product locked. The idea is strong and closely aligned with the track. The goal of these fixes is not to add features, but to make the existing concept technically defensible, clearly AI-driven, easier for judges to understand, and dramatically stronger in the demo.</w:t>
      </w:r>
    </w:p>
    <w:p>
      <w:r>
        <w:t>Core positioning:</w:t>
      </w:r>
    </w:p>
    <w:p>
      <w:r>
        <w:rPr>
          <w:b/>
        </w:rPr>
        <w:t>BOUND gives AI agents a safe, bounded and auditable way to pay Razorpay merchants through an open commerce protocol.</w:t>
      </w:r>
    </w:p>
    <w:p>
      <w:r>
        <w:rPr>
          <w:b/>
        </w:rPr>
        <w:t xml:space="preserve">Key principle: </w:t>
      </w:r>
      <w:r>
        <w:t>AI requests. BOUND authorizes. Razorpay settles.</w:t>
      </w:r>
    </w:p>
    <w:p>
      <w:pPr>
        <w:pStyle w:val="Heading1"/>
      </w:pPr>
      <w:r>
        <w:t>1. MUST FIX</w:t>
      </w:r>
    </w:p>
    <w:p>
      <w:pPr>
        <w:pStyle w:val="Heading2"/>
      </w:pPr>
      <w:r>
        <w:t>1. Validate the current UCP payment-handler contract</w:t>
      </w:r>
    </w:p>
    <w:p>
      <w:r>
        <w:t>Do not freeze the implementation around an older UCP sample structure. Before implementation, validate com.razorpay.payments against the current official UCP payment-handler schema and current official sample.</w:t>
      </w:r>
    </w:p>
    <w:p>
      <w:r>
        <w:rPr>
          <w:b/>
        </w:rPr>
        <w:t xml:space="preserve">Action: </w:t>
      </w:r>
      <w:r>
        <w:t>Plan change: add an explicit checkpoint before coding the handler. Treat the current official UCP contract as the source of truth.</w:t>
      </w:r>
    </w:p>
    <w:p>
      <w:pPr>
        <w:pStyle w:val="Heading2"/>
      </w:pPr>
      <w:r>
        <w:t>2. Make the AI buyer visible</w:t>
      </w:r>
    </w:p>
    <w:p>
      <w:r>
        <w:t>The AI must visibly initiate the commerce transaction. The demo should show the AI finding/selecting a product and requesting purchase, followed by the UCP checkout flow.</w:t>
      </w:r>
    </w:p>
    <w:p>
      <w:r>
        <w:rPr>
          <w:b/>
        </w:rPr>
        <w:t xml:space="preserve">Action: </w:t>
      </w:r>
      <w:r>
        <w:t>Do not make the project look like ordinary payment middleware. The AI is the buyer/originator of the transaction request.</w:t>
      </w:r>
    </w:p>
    <w:p>
      <w:pPr>
        <w:pStyle w:val="Heading2"/>
      </w:pPr>
      <w:r>
        <w:t>3. Make BOUND the authorization boundary</w:t>
      </w:r>
    </w:p>
    <w:p>
      <w:r>
        <w:t>Present BOUND as the deterministic boundary between AI intent and real money.</w:t>
      </w:r>
    </w:p>
    <w:p>
      <w:r>
        <w:rPr>
          <w:b/>
        </w:rPr>
        <w:t xml:space="preserve">Action: </w:t>
      </w:r>
      <w:r>
        <w:t>Architecture story: AI Buyer → UCP → Merchant → BOUND → Razorpay → Receipt/Audit.</w:t>
      </w:r>
    </w:p>
    <w:p>
      <w:pPr>
        <w:pStyle w:val="Heading2"/>
      </w:pPr>
      <w:r>
        <w:t>4. Make the no-rail-call guarantee demonstrable</w:t>
      </w:r>
    </w:p>
    <w:p>
      <w:r>
        <w:t>When a transaction is denied, show that Razorpay was never called. Record this explicitly in the audit event, for example RAIL_CALL=false.</w:t>
      </w:r>
    </w:p>
    <w:p>
      <w:r>
        <w:rPr>
          <w:b/>
        </w:rPr>
        <w:t xml:space="preserve">Action: </w:t>
      </w:r>
      <w:r>
        <w:t>For approval, record RAIL_CALL=true plus Razorpay order/payment IDs. For denial, show RAIL_CALL=false and no new Razorpay order.</w:t>
      </w:r>
    </w:p>
    <w:p>
      <w:pPr>
        <w:pStyle w:val="Heading2"/>
      </w:pPr>
      <w:r>
        <w:t>5. Tighten AP2 claims</w:t>
      </w:r>
    </w:p>
    <w:p>
      <w:r>
        <w:t>Do not claim a full AP2 implementation or full multi-agent mesh. Describe the project as using AP2 authorization primitives/objects for the transaction authorization model.</w:t>
      </w:r>
    </w:p>
    <w:p>
      <w:r>
        <w:rPr>
          <w:b/>
        </w:rPr>
        <w:t xml:space="preserve">Action: </w:t>
      </w:r>
      <w:r>
        <w:t>Add an explicit AP2 scope statement to README and docs.</w:t>
      </w:r>
    </w:p>
    <w:p>
      <w:pPr>
        <w:pStyle w:val="Heading2"/>
      </w:pPr>
      <w:r>
        <w:t>6. Build the end-to-end happy path first</w:t>
      </w:r>
    </w:p>
    <w:p>
      <w:r>
        <w:t>AI buyer request → UCP discovery → checkout → CartMandate → policy gates → Razorpay test order/payment → webhook → receipt → audit replay.</w:t>
      </w:r>
    </w:p>
    <w:p>
      <w:r>
        <w:rPr>
          <w:b/>
        </w:rPr>
        <w:t xml:space="preserve">Action: </w:t>
      </w:r>
      <w:r>
        <w:t>Do not move to optional features until this path is reliable.</w:t>
      </w:r>
    </w:p>
    <w:p>
      <w:pPr>
        <w:pStyle w:val="Heading2"/>
      </w:pPr>
      <w:r>
        <w:t>7. Build the quote-expiry failure</w:t>
      </w:r>
    </w:p>
    <w:p>
      <w:r>
        <w:t>Create checkout, wait past the 90-second CartMandate TTL, attempt completion, return QUOTE_EXPIRED, and prove that no Razorpay order was created.</w:t>
      </w:r>
    </w:p>
    <w:p>
      <w:r>
        <w:rPr>
          <w:b/>
        </w:rPr>
        <w:t xml:space="preserve">Action: </w:t>
      </w:r>
      <w:r>
        <w:t>This should be the primary failure shown in the video.</w:t>
      </w:r>
    </w:p>
    <w:p>
      <w:pPr>
        <w:pStyle w:val="Heading2"/>
      </w:pPr>
      <w:r>
        <w:t>8. Build trace replay</w:t>
      </w:r>
    </w:p>
    <w:p>
      <w:r>
        <w:t>The console must let a judge paste a trace_id and see the full transaction chain from mandate through policy decision and Razorpay IDs to receipt.</w:t>
      </w:r>
    </w:p>
    <w:p>
      <w:r>
        <w:rPr>
          <w:b/>
        </w:rPr>
        <w:t xml:space="preserve">Action: </w:t>
      </w:r>
      <w:r>
        <w:t>Make this the judge-facing screen, not a secondary admin feature.</w:t>
      </w:r>
    </w:p>
    <w:p>
      <w:pPr>
        <w:pStyle w:val="Heading1"/>
      </w:pPr>
      <w:r>
        <w:t>2. SHOULD FIX</w:t>
      </w:r>
    </w:p>
    <w:p>
      <w:pPr>
        <w:pStyle w:val="Heading2"/>
      </w:pPr>
      <w:r>
        <w:t>9. Strengthen the idempotency demo</w:t>
      </w:r>
    </w:p>
    <w:p>
      <w:r>
        <w:t>Show the same idempotency key producing one order on replay, then show the same key with a changed body producing IDEMPOTENCY_CONFLICT.</w:t>
      </w:r>
    </w:p>
    <w:p>
      <w:pPr>
        <w:pStyle w:val="Heading2"/>
      </w:pPr>
      <w:r>
        <w:t>10. Make the growth story explicit</w:t>
      </w:r>
    </w:p>
    <w:p>
      <w:r>
        <w:t>Position Agent GMV Captured as the new distribution channel created by agentic commerce. Agent GMV Blocked is evidence that invalid or unsafe agent transactions are being rejected safely.</w:t>
      </w:r>
    </w:p>
    <w:p>
      <w:pPr>
        <w:pStyle w:val="Heading2"/>
      </w:pPr>
      <w:r>
        <w:t>11. Make docs/handler.md a first-class artifact</w:t>
      </w:r>
    </w:p>
    <w:p>
      <w:r>
        <w:t>Document handler ID, environment, currency, input contract, authorization model, decision states, settlement rail, receipt mapping and failure behavior.</w:t>
      </w:r>
    </w:p>
    <w:p>
      <w:pPr>
        <w:pStyle w:val="Heading2"/>
      </w:pPr>
      <w:r>
        <w:t>12. Make the console judge-first</w:t>
      </w:r>
    </w:p>
    <w:p>
      <w:r>
        <w:t>First screen should show captured GMV, blocked GMV, recent successful/blocked traces, and one-click or easy trace replay.</w:t>
      </w:r>
    </w:p>
    <w:p>
      <w:pPr>
        <w:pStyle w:val="Heading2"/>
      </w:pPr>
      <w:r>
        <w:t>13. Add the central end-to-end security test</w:t>
      </w:r>
    </w:p>
    <w:p>
      <w:r>
        <w:t>Add a test proving an expired mandate causes QUOTE_EXPIRED and that the Razorpay order creation function is never called.</w:t>
      </w:r>
    </w:p>
    <w:p>
      <w:pPr>
        <w:pStyle w:val="Heading1"/>
      </w:pPr>
      <w:r>
        <w:t>3. DEMO &amp; PITCH FIXES</w:t>
      </w:r>
    </w:p>
    <w:p>
      <w:pPr>
        <w:pStyle w:val="Heading2"/>
      </w:pPr>
      <w:r>
        <w:t>Recommended 5-minute demo</w:t>
      </w:r>
    </w:p>
    <w:tbl>
      <w:tblPr>
        <w:tblStyle w:val="TableGrid"/>
        <w:tblW w:type="auto" w:w="0"/>
        <w:tblLook w:firstColumn="1" w:firstRow="1" w:lastColumn="0" w:lastRow="0" w:noHBand="0" w:noVBand="1" w:val="04A0"/>
      </w:tblPr>
      <w:tblGrid>
        <w:gridCol w:w="3360"/>
        <w:gridCol w:w="3360"/>
        <w:gridCol w:w="3360"/>
      </w:tblGrid>
      <w:tr>
        <w:tc>
          <w:tcPr>
            <w:tcW w:type="dxa" w:w="3360"/>
          </w:tcPr>
          <w:p>
            <w:r>
              <w:t>Time</w:t>
            </w:r>
          </w:p>
        </w:tc>
        <w:tc>
          <w:tcPr>
            <w:tcW w:type="dxa" w:w="3360"/>
          </w:tcPr>
          <w:p>
            <w:r>
              <w:t>Beat</w:t>
            </w:r>
          </w:p>
        </w:tc>
        <w:tc>
          <w:tcPr>
            <w:tcW w:type="dxa" w:w="3360"/>
          </w:tcPr>
          <w:p>
            <w:r>
              <w:t>What to show</w:t>
            </w:r>
          </w:p>
        </w:tc>
      </w:tr>
      <w:tr>
        <w:tc>
          <w:tcPr>
            <w:tcW w:type="dxa" w:w="3360"/>
          </w:tcPr>
          <w:p>
            <w:r>
              <w:t>0:00–0:20</w:t>
            </w:r>
          </w:p>
        </w:tc>
        <w:tc>
          <w:tcPr>
            <w:tcW w:type="dxa" w:w="3360"/>
          </w:tcPr>
          <w:p>
            <w:r>
              <w:t>Problem</w:t>
            </w:r>
          </w:p>
        </w:tc>
        <w:tc>
          <w:tcPr>
            <w:tcW w:type="dxa" w:w="3360"/>
          </w:tcPr>
          <w:p>
            <w:r>
              <w:t>AI agents can shop, but merchants need a safe boundary before an AI request can cause real payment activity.</w:t>
            </w:r>
          </w:p>
        </w:tc>
      </w:tr>
      <w:tr>
        <w:tc>
          <w:tcPr>
            <w:tcW w:type="dxa" w:w="3360"/>
          </w:tcPr>
          <w:p>
            <w:r>
              <w:t>0:20–0:45</w:t>
            </w:r>
          </w:p>
        </w:tc>
        <w:tc>
          <w:tcPr>
            <w:tcW w:type="dxa" w:w="3360"/>
          </w:tcPr>
          <w:p>
            <w:r>
              <w:t>AI Buyer</w:t>
            </w:r>
          </w:p>
        </w:tc>
        <w:tc>
          <w:tcPr>
            <w:tcW w:type="dxa" w:w="3360"/>
          </w:tcPr>
          <w:p>
            <w:r>
              <w:t>Ask the AI buyer to find and purchase a product under a defined constraint.</w:t>
            </w:r>
          </w:p>
        </w:tc>
      </w:tr>
      <w:tr>
        <w:tc>
          <w:tcPr>
            <w:tcW w:type="dxa" w:w="3360"/>
          </w:tcPr>
          <w:p>
            <w:r>
              <w:t>0:45–1:10</w:t>
            </w:r>
          </w:p>
        </w:tc>
        <w:tc>
          <w:tcPr>
            <w:tcW w:type="dxa" w:w="3360"/>
          </w:tcPr>
          <w:p>
            <w:r>
              <w:t>Discovery</w:t>
            </w:r>
          </w:p>
        </w:tc>
        <w:tc>
          <w:tcPr>
            <w:tcW w:type="dxa" w:w="3360"/>
          </w:tcPr>
          <w:p>
            <w:r>
              <w:t>Show UCP discovery and com.razorpay.payments.</w:t>
            </w:r>
          </w:p>
        </w:tc>
      </w:tr>
      <w:tr>
        <w:tc>
          <w:tcPr>
            <w:tcW w:type="dxa" w:w="3360"/>
          </w:tcPr>
          <w:p>
            <w:r>
              <w:t>1:10–1:40</w:t>
            </w:r>
          </w:p>
        </w:tc>
        <w:tc>
          <w:tcPr>
            <w:tcW w:type="dxa" w:w="3360"/>
          </w:tcPr>
          <w:p>
            <w:r>
              <w:t>Authorization</w:t>
            </w:r>
          </w:p>
        </w:tc>
        <w:tc>
          <w:tcPr>
            <w:tcW w:type="dxa" w:w="3360"/>
          </w:tcPr>
          <w:p>
            <w:r>
              <w:t>Show CartMandate and the six deterministic gates.</w:t>
            </w:r>
          </w:p>
        </w:tc>
      </w:tr>
      <w:tr>
        <w:tc>
          <w:tcPr>
            <w:tcW w:type="dxa" w:w="3360"/>
          </w:tcPr>
          <w:p>
            <w:r>
              <w:t>1:40–2:05</w:t>
            </w:r>
          </w:p>
        </w:tc>
        <w:tc>
          <w:tcPr>
            <w:tcW w:type="dxa" w:w="3360"/>
          </w:tcPr>
          <w:p>
            <w:r>
              <w:t>Settlement</w:t>
            </w:r>
          </w:p>
        </w:tc>
        <w:tc>
          <w:tcPr>
            <w:tcW w:type="dxa" w:w="3360"/>
          </w:tcPr>
          <w:p>
            <w:r>
              <w:t>Show APPROVED, the Razorpay test order, and the linked transaction identifiers.</w:t>
            </w:r>
          </w:p>
        </w:tc>
      </w:tr>
      <w:tr>
        <w:tc>
          <w:tcPr>
            <w:tcW w:type="dxa" w:w="3360"/>
          </w:tcPr>
          <w:p>
            <w:r>
              <w:t>2:05–2:35</w:t>
            </w:r>
          </w:p>
        </w:tc>
        <w:tc>
          <w:tcPr>
            <w:tcW w:type="dxa" w:w="3360"/>
          </w:tcPr>
          <w:p>
            <w:r>
              <w:t>Webhook + Receipt</w:t>
            </w:r>
          </w:p>
        </w:tc>
        <w:tc>
          <w:tcPr>
            <w:tcW w:type="dxa" w:w="3360"/>
          </w:tcPr>
          <w:p>
            <w:r>
              <w:t>Show payment event, receipt creation and audit record.</w:t>
            </w:r>
          </w:p>
        </w:tc>
      </w:tr>
      <w:tr>
        <w:tc>
          <w:tcPr>
            <w:tcW w:type="dxa" w:w="3360"/>
          </w:tcPr>
          <w:p>
            <w:r>
              <w:t>2:35–3:20</w:t>
            </w:r>
          </w:p>
        </w:tc>
        <w:tc>
          <w:tcPr>
            <w:tcW w:type="dxa" w:w="3360"/>
          </w:tcPr>
          <w:p>
            <w:r>
              <w:t>Failure</w:t>
            </w:r>
          </w:p>
        </w:tc>
        <w:tc>
          <w:tcPr>
            <w:tcW w:type="dxa" w:w="3360"/>
          </w:tcPr>
          <w:p>
            <w:r>
              <w:t>Wait 91 seconds or use the expiry demo. Complete again. Show QUOTE_EXPIRED and prove there is no new Razorpay order.</w:t>
            </w:r>
          </w:p>
        </w:tc>
      </w:tr>
      <w:tr>
        <w:tc>
          <w:tcPr>
            <w:tcW w:type="dxa" w:w="3360"/>
          </w:tcPr>
          <w:p>
            <w:r>
              <w:t>3:20–4:10</w:t>
            </w:r>
          </w:p>
        </w:tc>
        <w:tc>
          <w:tcPr>
            <w:tcW w:type="dxa" w:w="3360"/>
          </w:tcPr>
          <w:p>
            <w:r>
              <w:t>Trace Replay</w:t>
            </w:r>
          </w:p>
        </w:tc>
        <w:tc>
          <w:tcPr>
            <w:tcW w:type="dxa" w:w="3360"/>
          </w:tcPr>
          <w:p>
            <w:r>
              <w:t>Paste trace_id and replay mandate → gates → order/payment → receipt or denial.</w:t>
            </w:r>
          </w:p>
        </w:tc>
      </w:tr>
      <w:tr>
        <w:tc>
          <w:tcPr>
            <w:tcW w:type="dxa" w:w="3360"/>
          </w:tcPr>
          <w:p>
            <w:r>
              <w:t>4:10–4:40</w:t>
            </w:r>
          </w:p>
        </w:tc>
        <w:tc>
          <w:tcPr>
            <w:tcW w:type="dxa" w:w="3360"/>
          </w:tcPr>
          <w:p>
            <w:r>
              <w:t>Growth</w:t>
            </w:r>
          </w:p>
        </w:tc>
        <w:tc>
          <w:tcPr>
            <w:tcW w:type="dxa" w:w="3360"/>
          </w:tcPr>
          <w:p>
            <w:r>
              <w:t>Explain that BOUND turns an existing Razorpay merchant into a destination an AI buyer can transact with.</w:t>
            </w:r>
          </w:p>
        </w:tc>
      </w:tr>
      <w:tr>
        <w:tc>
          <w:tcPr>
            <w:tcW w:type="dxa" w:w="3360"/>
          </w:tcPr>
          <w:p>
            <w:r>
              <w:t>4:40–5:00</w:t>
            </w:r>
          </w:p>
        </w:tc>
        <w:tc>
          <w:tcPr>
            <w:tcW w:type="dxa" w:w="3360"/>
          </w:tcPr>
          <w:p>
            <w:r>
              <w:t>Close</w:t>
            </w:r>
          </w:p>
        </w:tc>
        <w:tc>
          <w:tcPr>
            <w:tcW w:type="dxa" w:w="3360"/>
          </w:tcPr>
          <w:p>
            <w:r>
              <w:t>AI requests. BOUND authorizes. Razorpay settles.</w:t>
            </w:r>
          </w:p>
        </w:tc>
      </w:tr>
    </w:tbl>
    <w:p>
      <w:pPr>
        <w:pStyle w:val="Heading1"/>
      </w:pPr>
      <w:r>
        <w:t>4. RECOMMENDED POSITIONING COPY</w:t>
      </w:r>
    </w:p>
    <w:p>
      <w:r>
        <w:rPr>
          <w:b/>
        </w:rPr>
        <w:t xml:space="preserve">One-line product description: </w:t>
      </w:r>
      <w:r>
        <w:t>BOUND gives AI agents a safe, bounded and auditable way to pay Razorpay merchants through an open commerce protocol.</w:t>
      </w:r>
    </w:p>
    <w:p>
      <w:r>
        <w:rPr>
          <w:b/>
        </w:rPr>
        <w:t xml:space="preserve">Technical explanation: </w:t>
      </w:r>
      <w:r>
        <w:t>The AI can request a transaction, but BOUND deterministically decides whether that transaction is authorized before Razorpay is called.</w:t>
      </w:r>
    </w:p>
    <w:p>
      <w:r>
        <w:rPr>
          <w:b/>
        </w:rPr>
        <w:t xml:space="preserve">Core architecture statement: </w:t>
      </w:r>
      <w:r>
        <w:t>AI requests. BOUND authorizes. Razorpay settles.</w:t>
      </w:r>
    </w:p>
    <w:p>
      <w:r>
        <w:rPr>
          <w:b/>
        </w:rPr>
        <w:t xml:space="preserve">Security statement: </w:t>
      </w:r>
      <w:r>
        <w:t>No policy approval, no Razorpay API call.</w:t>
      </w:r>
    </w:p>
    <w:p>
      <w:r>
        <w:rPr>
          <w:b/>
        </w:rPr>
        <w:t xml:space="preserve">AI explanation: </w:t>
      </w:r>
      <w:r>
        <w:t>BOUND deliberately keeps LLM decision-making out of authorization and settlement. AI can initiate intent; deterministic policy decides whether money may move.</w:t>
      </w:r>
    </w:p>
    <w:p>
      <w:r>
        <w:rPr>
          <w:b/>
        </w:rPr>
        <w:t xml:space="preserve">Closing pitch: </w:t>
      </w:r>
      <w:r>
        <w:t>AI agents are becoming buyers. BOUND makes sure they can become buyers without becoming an uncontrolled payment authority.</w:t>
      </w:r>
    </w:p>
    <w:p>
      <w:pPr>
        <w:pStyle w:val="Heading1"/>
      </w:pPr>
      <w:r>
        <w:t>5. THINGS NOT TO CHANGE</w:t>
      </w:r>
    </w:p>
    <w:p>
      <w:pPr>
        <w:pStyle w:val="ListBullet"/>
      </w:pPr>
      <w:r>
        <w:t>BOUND name</w:t>
      </w:r>
    </w:p>
    <w:p>
      <w:pPr>
        <w:pStyle w:val="ListBullet"/>
      </w:pPr>
      <w:r>
        <w:t>com.razorpay.payments</w:t>
      </w:r>
    </w:p>
    <w:p>
      <w:pPr>
        <w:pStyle w:val="ListBullet"/>
      </w:pPr>
      <w:r>
        <w:t>Razorpay Test Mode</w:t>
      </w:r>
    </w:p>
    <w:p>
      <w:pPr>
        <w:pStyle w:val="ListBullet"/>
      </w:pPr>
      <w:r>
        <w:t>UCP</w:t>
      </w:r>
    </w:p>
    <w:p>
      <w:pPr>
        <w:pStyle w:val="ListBullet"/>
      </w:pPr>
      <w:r>
        <w:t>AP2 authorization objects/primitives</w:t>
      </w:r>
    </w:p>
    <w:p>
      <w:pPr>
        <w:pStyle w:val="ListBullet"/>
      </w:pPr>
      <w:r>
        <w:t>Deterministic policy engine</w:t>
      </w:r>
    </w:p>
    <w:p>
      <w:pPr>
        <w:pStyle w:val="ListBullet"/>
      </w:pPr>
      <w:r>
        <w:t>Six policy gates</w:t>
      </w:r>
    </w:p>
    <w:p>
      <w:pPr>
        <w:pStyle w:val="ListBullet"/>
      </w:pPr>
      <w:r>
        <w:t>90-second CartMandate</w:t>
      </w:r>
    </w:p>
    <w:p>
      <w:pPr>
        <w:pStyle w:val="ListBullet"/>
      </w:pPr>
      <w:r>
        <w:t>Quote-expiry primary failure</w:t>
      </w:r>
    </w:p>
    <w:p>
      <w:pPr>
        <w:pStyle w:val="ListBullet"/>
      </w:pPr>
      <w:r>
        <w:t>Price-drift backup failure</w:t>
      </w:r>
    </w:p>
    <w:p>
      <w:pPr>
        <w:pStyle w:val="ListBullet"/>
      </w:pPr>
      <w:r>
        <w:t>Append-only audit ledger</w:t>
      </w:r>
    </w:p>
    <w:p>
      <w:pPr>
        <w:pStyle w:val="ListBullet"/>
      </w:pPr>
      <w:r>
        <w:t>Captured vs blocked GMV</w:t>
      </w:r>
    </w:p>
    <w:p>
      <w:pPr>
        <w:pStyle w:val="ListBullet"/>
      </w:pPr>
      <w:r>
        <w:t>Official UCP client as the primary buyer reference</w:t>
      </w:r>
    </w:p>
    <w:p>
      <w:pPr>
        <w:pStyle w:val="ListBullet"/>
      </w:pPr>
      <w:r>
        <w:t>Python + FastAPI + SQLite</w:t>
      </w:r>
    </w:p>
    <w:p>
      <w:pPr>
        <w:pStyle w:val="ListBullet"/>
      </w:pPr>
      <w:r>
        <w:t>No LLM on the money path</w:t>
      </w:r>
    </w:p>
    <w:p>
      <w:pPr>
        <w:pStyle w:val="Heading1"/>
      </w:pPr>
      <w:r>
        <w:t>6. THINGS NOT TO ADD UNLESS CORE IS DONE</w:t>
      </w:r>
    </w:p>
    <w:p>
      <w:pPr>
        <w:pStyle w:val="ListBullet"/>
      </w:pPr>
      <w:r>
        <w:t>Conversational checkout as the product</w:t>
      </w:r>
    </w:p>
    <w:p>
      <w:pPr>
        <w:pStyle w:val="ListBullet"/>
      </w:pPr>
      <w:r>
        <w:t>Recommendation engine</w:t>
      </w:r>
    </w:p>
    <w:p>
      <w:pPr>
        <w:pStyle w:val="ListBullet"/>
      </w:pPr>
      <w:r>
        <w:t>RAG</w:t>
      </w:r>
    </w:p>
    <w:p>
      <w:pPr>
        <w:pStyle w:val="ListBullet"/>
      </w:pPr>
      <w:r>
        <w:t>Multi-agent complexity for its own sake</w:t>
      </w:r>
    </w:p>
    <w:p>
      <w:pPr>
        <w:pStyle w:val="ListBullet"/>
      </w:pPr>
      <w:r>
        <w:t>x402/crypto settlement</w:t>
      </w:r>
    </w:p>
    <w:p>
      <w:pPr>
        <w:pStyle w:val="ListBullet"/>
      </w:pPr>
      <w:r>
        <w:t>Marketplace functionality</w:t>
      </w:r>
    </w:p>
    <w:p>
      <w:pPr>
        <w:pStyle w:val="ListBullet"/>
      </w:pPr>
      <w:r>
        <w:t>MCP before the core path works</w:t>
      </w:r>
    </w:p>
    <w:p>
      <w:pPr>
        <w:pStyle w:val="ListBullet"/>
      </w:pPr>
      <w:r>
        <w:t>Fancy UI before the transaction and failure demos work</w:t>
      </w:r>
    </w:p>
    <w:p>
      <w:pPr>
        <w:pStyle w:val="ListBullet"/>
      </w:pPr>
      <w:r>
        <w:t>LLM-based authorization decisions</w:t>
      </w:r>
    </w:p>
    <w:p>
      <w:pPr>
        <w:pStyle w:val="Heading1"/>
      </w:pPr>
      <w:r>
        <w:t>7. PRIORITY CHECKLIST</w:t>
      </w:r>
    </w:p>
    <w:tbl>
      <w:tblPr>
        <w:tblStyle w:val="TableGrid"/>
        <w:tblW w:type="auto" w:w="0"/>
        <w:tblLook w:firstColumn="1" w:firstRow="1" w:lastColumn="0" w:lastRow="0" w:noHBand="0" w:noVBand="1" w:val="04A0"/>
      </w:tblPr>
      <w:tblGrid>
        <w:gridCol w:w="5040"/>
        <w:gridCol w:w="5040"/>
      </w:tblGrid>
      <w:tr>
        <w:tc>
          <w:tcPr>
            <w:tcW w:type="dxa" w:w="5040"/>
          </w:tcPr>
          <w:p>
            <w:r>
              <w:t>Priority</w:t>
            </w:r>
          </w:p>
        </w:tc>
        <w:tc>
          <w:tcPr>
            <w:tcW w:type="dxa" w:w="5040"/>
          </w:tcPr>
          <w:p>
            <w:r>
              <w:t>Checkpoint</w:t>
            </w:r>
          </w:p>
        </w:tc>
      </w:tr>
      <w:tr>
        <w:tc>
          <w:tcPr>
            <w:tcW w:type="dxa" w:w="5040"/>
          </w:tcPr>
          <w:p>
            <w:r>
              <w:t>MUST</w:t>
            </w:r>
          </w:p>
        </w:tc>
        <w:tc>
          <w:tcPr>
            <w:tcW w:type="dxa" w:w="5040"/>
          </w:tcPr>
          <w:p>
            <w:r>
              <w:t>Current UCP handler contract validated</w:t>
            </w:r>
          </w:p>
        </w:tc>
      </w:tr>
      <w:tr>
        <w:tc>
          <w:tcPr>
            <w:tcW w:type="dxa" w:w="5040"/>
          </w:tcPr>
          <w:p>
            <w:r>
              <w:t>MUST</w:t>
            </w:r>
          </w:p>
        </w:tc>
        <w:tc>
          <w:tcPr>
            <w:tcW w:type="dxa" w:w="5040"/>
          </w:tcPr>
          <w:p>
            <w:r>
              <w:t>Visible AI buyer initiates purchase</w:t>
            </w:r>
          </w:p>
        </w:tc>
      </w:tr>
      <w:tr>
        <w:tc>
          <w:tcPr>
            <w:tcW w:type="dxa" w:w="5040"/>
          </w:tcPr>
          <w:p>
            <w:r>
              <w:t>MUST</w:t>
            </w:r>
          </w:p>
        </w:tc>
        <w:tc>
          <w:tcPr>
            <w:tcW w:type="dxa" w:w="5040"/>
          </w:tcPr>
          <w:p>
            <w:r>
              <w:t>BOUND clearly positioned as authorization boundary</w:t>
            </w:r>
          </w:p>
        </w:tc>
      </w:tr>
      <w:tr>
        <w:tc>
          <w:tcPr>
            <w:tcW w:type="dxa" w:w="5040"/>
          </w:tcPr>
          <w:p>
            <w:r>
              <w:t>MUST</w:t>
            </w:r>
          </w:p>
        </w:tc>
        <w:tc>
          <w:tcPr>
            <w:tcW w:type="dxa" w:w="5040"/>
          </w:tcPr>
          <w:p>
            <w:r>
              <w:t>Denied transaction proves Razorpay was not called</w:t>
            </w:r>
          </w:p>
        </w:tc>
      </w:tr>
      <w:tr>
        <w:tc>
          <w:tcPr>
            <w:tcW w:type="dxa" w:w="5040"/>
          </w:tcPr>
          <w:p>
            <w:r>
              <w:t>MUST</w:t>
            </w:r>
          </w:p>
        </w:tc>
        <w:tc>
          <w:tcPr>
            <w:tcW w:type="dxa" w:w="5040"/>
          </w:tcPr>
          <w:p>
            <w:r>
              <w:t>AP2 scope is precise and honest</w:t>
            </w:r>
          </w:p>
        </w:tc>
      </w:tr>
      <w:tr>
        <w:tc>
          <w:tcPr>
            <w:tcW w:type="dxa" w:w="5040"/>
          </w:tcPr>
          <w:p>
            <w:r>
              <w:t>MUST</w:t>
            </w:r>
          </w:p>
        </w:tc>
        <w:tc>
          <w:tcPr>
            <w:tcW w:type="dxa" w:w="5040"/>
          </w:tcPr>
          <w:p>
            <w:r>
              <w:t>Happy path works end to end</w:t>
            </w:r>
          </w:p>
        </w:tc>
      </w:tr>
      <w:tr>
        <w:tc>
          <w:tcPr>
            <w:tcW w:type="dxa" w:w="5040"/>
          </w:tcPr>
          <w:p>
            <w:r>
              <w:t>MUST</w:t>
            </w:r>
          </w:p>
        </w:tc>
        <w:tc>
          <w:tcPr>
            <w:tcW w:type="dxa" w:w="5040"/>
          </w:tcPr>
          <w:p>
            <w:r>
              <w:t>Quote-expiry failure works</w:t>
            </w:r>
          </w:p>
        </w:tc>
      </w:tr>
      <w:tr>
        <w:tc>
          <w:tcPr>
            <w:tcW w:type="dxa" w:w="5040"/>
          </w:tcPr>
          <w:p>
            <w:r>
              <w:t>MUST</w:t>
            </w:r>
          </w:p>
        </w:tc>
        <w:tc>
          <w:tcPr>
            <w:tcW w:type="dxa" w:w="5040"/>
          </w:tcPr>
          <w:p>
            <w:r>
              <w:t>Trace replay works</w:t>
            </w:r>
          </w:p>
        </w:tc>
      </w:tr>
      <w:tr>
        <w:tc>
          <w:tcPr>
            <w:tcW w:type="dxa" w:w="5040"/>
          </w:tcPr>
          <w:p>
            <w:r>
              <w:t>SHOULD</w:t>
            </w:r>
          </w:p>
        </w:tc>
        <w:tc>
          <w:tcPr>
            <w:tcW w:type="dxa" w:w="5040"/>
          </w:tcPr>
          <w:p>
            <w:r>
              <w:t>Idempotency replay/conflict demo</w:t>
            </w:r>
          </w:p>
        </w:tc>
      </w:tr>
      <w:tr>
        <w:tc>
          <w:tcPr>
            <w:tcW w:type="dxa" w:w="5040"/>
          </w:tcPr>
          <w:p>
            <w:r>
              <w:t>SHOULD</w:t>
            </w:r>
          </w:p>
        </w:tc>
        <w:tc>
          <w:tcPr>
            <w:tcW w:type="dxa" w:w="5040"/>
          </w:tcPr>
          <w:p>
            <w:r>
              <w:t>Captured vs blocked GMV presentation</w:t>
            </w:r>
          </w:p>
        </w:tc>
      </w:tr>
      <w:tr>
        <w:tc>
          <w:tcPr>
            <w:tcW w:type="dxa" w:w="5040"/>
          </w:tcPr>
          <w:p>
            <w:r>
              <w:t>SHOULD</w:t>
            </w:r>
          </w:p>
        </w:tc>
        <w:tc>
          <w:tcPr>
            <w:tcW w:type="dxa" w:w="5040"/>
          </w:tcPr>
          <w:p>
            <w:r>
              <w:t>Complete handler specification</w:t>
            </w:r>
          </w:p>
        </w:tc>
      </w:tr>
      <w:tr>
        <w:tc>
          <w:tcPr>
            <w:tcW w:type="dxa" w:w="5040"/>
          </w:tcPr>
          <w:p>
            <w:r>
              <w:t>SHOULD</w:t>
            </w:r>
          </w:p>
        </w:tc>
        <w:tc>
          <w:tcPr>
            <w:tcW w:type="dxa" w:w="5040"/>
          </w:tcPr>
          <w:p>
            <w:r>
              <w:t>Judge-first console</w:t>
            </w:r>
          </w:p>
        </w:tc>
      </w:tr>
      <w:tr>
        <w:tc>
          <w:tcPr>
            <w:tcW w:type="dxa" w:w="5040"/>
          </w:tcPr>
          <w:p>
            <w:r>
              <w:t>SHOULD</w:t>
            </w:r>
          </w:p>
        </w:tc>
        <w:tc>
          <w:tcPr>
            <w:tcW w:type="dxa" w:w="5040"/>
          </w:tcPr>
          <w:p>
            <w:r>
              <w:t>End-to-end no-rail-call test</w:t>
            </w:r>
          </w:p>
        </w:tc>
      </w:tr>
      <w:tr>
        <w:tc>
          <w:tcPr>
            <w:tcW w:type="dxa" w:w="5040"/>
          </w:tcPr>
          <w:p>
            <w:r>
              <w:t>ONLY IF TIME</w:t>
            </w:r>
          </w:p>
        </w:tc>
        <w:tc>
          <w:tcPr>
            <w:tcW w:type="dxa" w:w="5040"/>
          </w:tcPr>
          <w:p>
            <w:r>
              <w:t>MCP</w:t>
            </w:r>
          </w:p>
        </w:tc>
      </w:tr>
      <w:tr>
        <w:tc>
          <w:tcPr>
            <w:tcW w:type="dxa" w:w="5040"/>
          </w:tcPr>
          <w:p>
            <w:r>
              <w:t>ONLY IF TIME</w:t>
            </w:r>
          </w:p>
        </w:tc>
        <w:tc>
          <w:tcPr>
            <w:tcW w:type="dxa" w:w="5040"/>
          </w:tcPr>
          <w:p>
            <w:r>
              <w:t>LLM-written denial explanation</w:t>
            </w:r>
          </w:p>
        </w:tc>
      </w:tr>
      <w:tr>
        <w:tc>
          <w:tcPr>
            <w:tcW w:type="dxa" w:w="5040"/>
          </w:tcPr>
          <w:p>
            <w:r>
              <w:t>ONLY IF TIME</w:t>
            </w:r>
          </w:p>
        </w:tc>
        <w:tc>
          <w:tcPr>
            <w:tcW w:type="dxa" w:w="5040"/>
          </w:tcPr>
          <w:p>
            <w:r>
              <w:t>UI polish</w:t>
            </w:r>
          </w:p>
        </w:tc>
      </w:tr>
    </w:tbl>
    <w:p>
      <w:pPr>
        <w:pStyle w:val="Heading1"/>
      </w:pPr>
      <w:r>
        <w:t>8. FINAL PRODUCT MODEL</w:t>
      </w:r>
    </w:p>
    <w:p>
      <w:r>
        <w:rPr>
          <w:b/>
        </w:rPr>
        <w:t>AI Buyer</w:t>
      </w:r>
      <w:r>
        <w:t xml:space="preserve"> → UCP → </w:t>
      </w:r>
      <w:r>
        <w:rPr>
          <w:b/>
        </w:rPr>
        <w:t>Merchant</w:t>
      </w:r>
      <w:r>
        <w:t xml:space="preserve"> → </w:t>
      </w:r>
      <w:r>
        <w:rPr>
          <w:b/>
        </w:rPr>
        <w:t>BOUND</w:t>
      </w:r>
      <w:r>
        <w:t xml:space="preserve"> → </w:t>
      </w:r>
      <w:r>
        <w:rPr>
          <w:b/>
        </w:rPr>
        <w:t>Razorpay</w:t>
      </w:r>
      <w:r>
        <w:t xml:space="preserve"> → Receipt + Audit</w:t>
      </w:r>
    </w:p>
    <w:p>
      <w:r>
        <w:t>The product is not a chatbot and not merely a Razorpay integration. BOUND is the authorization boundary that connects AI commerce intent to controlled payment settlement.</w:t>
      </w:r>
    </w:p>
    <w:p/>
    <w:p>
      <w:pPr>
        <w:jc w:val="center"/>
      </w:pPr>
      <w:r>
        <w:rPr>
          <w:b/>
          <w:sz w:val="26"/>
        </w:rPr>
        <w:t>Build one transaction so convincingly that the judge cannot miss the point.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