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700"/>
        <w:jc w:val="center"/>
      </w:pPr>
      <w:r>
        <w:rPr>
          <w:rFonts w:ascii="Calibri" w:cs="Calibri" w:eastAsia="Calibri" w:hAnsi="Calibri"/>
          <w:b/>
          <w:bCs/>
          <w:color w:val="2E2A5E"/>
          <w:sz w:val="64"/>
          <w:szCs w:val="64"/>
        </w:rPr>
        <w:t xml:space="preserve">SELESTIAL</w:t>
      </w:r>
    </w:p>
    <w:p>
      <w:pPr>
        <w:spacing w:after="40"/>
        <w:jc w:val="center"/>
      </w:pPr>
      <w:r>
        <w:rPr>
          <w:rFonts w:ascii="Calibri" w:cs="Calibri" w:eastAsia="Calibri" w:hAnsi="Calibri"/>
          <w:i/>
          <w:iCs/>
          <w:color w:val="6B7280"/>
          <w:sz w:val="24"/>
          <w:szCs w:val="24"/>
        </w:rPr>
        <w:t xml:space="preserve">Universe of Silver — E‑Commerce Storefront</w:t>
      </w:r>
    </w:p>
    <w:p>
      <w:pPr>
        <w:pBdr>
          <w:top w:val="single" w:color="6D5BD0" w:sz="12" w:space="6"/>
          <w:bottom w:val="single" w:color="6D5BD0" w:sz="12" w:space="6"/>
        </w:pBdr>
        <w:spacing w:after="0" w:before="260"/>
        <w:jc w:val="center"/>
      </w:pPr>
      <w:r>
        <w:rPr>
          <w:rFonts w:ascii="Calibri" w:cs="Calibri" w:eastAsia="Calibri" w:hAnsi="Calibri"/>
          <w:b/>
          <w:bCs/>
          <w:color w:val="1A1A2E"/>
          <w:sz w:val="30"/>
          <w:szCs w:val="30"/>
        </w:rPr>
        <w:t xml:space="preserve">FULL‑STACK CODE &amp; EXPERIENCE AUDIT</w:t>
      </w:r>
    </w:p>
    <w:p>
      <w:pPr>
        <w:spacing w:before="200"/>
        <w:jc w:val="center"/>
      </w:pPr>
      <w:r>
        <w:rPr>
          <w:rFonts w:ascii="Calibri" w:cs="Calibri" w:eastAsia="Calibri" w:hAnsi="Calibri"/>
          <w:b/>
          <w:bCs/>
          <w:color w:val="6D5BD0"/>
          <w:sz w:val="21"/>
          <w:szCs w:val="21"/>
        </w:rPr>
        <w:t xml:space="preserve">Security · UI/UX · Content · SEO / AEO / GEO · Bugs</w:t>
      </w:r>
    </w:p>
    <w:p>
      <w:pPr>
        <w:spacing w:after="360"/>
      </w:pPr>
      <w:r>
        <w:rPr>
          <w:rFonts w:ascii="Calibri" w:cs="Calibri" w:eastAsia="Calibri" w:hAnsi="Calibri"/>
          <w:sz w:val="2"/>
          <w:szCs w:val="2"/>
        </w:rPr>
        <w:t xml:space="preserve"/>
      </w:r>
    </w:p>
    <w:p>
      <w:pPr>
        <w:jc w:val="center"/>
      </w:pPr>
      <w:r>
        <w:rPr>
          <w:rFonts w:ascii="Calibri" w:cs="Calibri" w:eastAsia="Calibri" w:hAnsi="Calibri"/>
          <w:color w:val="1A1A2E"/>
          <w:sz w:val="22"/>
          <w:szCs w:val="22"/>
        </w:rPr>
        <w:t xml:space="preserve">Prepared for: Sahil</w:t>
      </w:r>
    </w:p>
    <w:p>
      <w:pPr>
        <w:jc w:val="center"/>
      </w:pPr>
      <w:r>
        <w:rPr>
          <w:rFonts w:ascii="Calibri" w:cs="Calibri" w:eastAsia="Calibri" w:hAnsi="Calibri"/>
          <w:color w:val="1A1A2E"/>
          <w:sz w:val="22"/>
          <w:szCs w:val="22"/>
        </w:rPr>
        <w:t xml:space="preserve">Date: 17 June 2026</w:t>
      </w:r>
    </w:p>
    <w:p>
      <w:pPr>
        <w:jc w:val="center"/>
      </w:pPr>
      <w:r>
        <w:rPr>
          <w:rFonts w:ascii="Calibri" w:cs="Calibri" w:eastAsia="Calibri" w:hAnsi="Calibri"/>
          <w:color w:val="6B7280"/>
          <w:sz w:val="18"/>
          <w:szCs w:val="18"/>
        </w:rPr>
        <w:t xml:space="preserve">Stack: React 19 + Vite · Express 5 · node:sqlite · Vercel Blob · Stripe · Google OAuth</w:t>
      </w:r>
    </w:p>
    <w:p>
      <w:pPr>
        <w:spacing w:before="60"/>
        <w:jc w:val="center"/>
      </w:pPr>
      <w:r>
        <w:rPr>
          <w:rFonts w:ascii="Calibri" w:cs="Calibri" w:eastAsia="Calibri" w:hAnsi="Calibri"/>
          <w:i/>
          <w:iCs/>
          <w:color w:val="6B7280"/>
          <w:sz w:val="18"/>
          <w:szCs w:val="18"/>
        </w:rPr>
        <w:t xml:space="preserve">Scope: ~6,700 lines across frontend (src/) and backend (server/, api/); live deployment verified.</w:t>
      </w:r>
    </w:p>
    <w:p>
      <w:r>
        <w:br w:type="page"/>
      </w:r>
    </w:p>
    <w:p>
      <w:pPr>
        <w:pStyle w:val="Heading1"/>
        <w:pBdr>
          <w:bottom w:val="single" w:color="6D5BD0" w:sz="10" w:space="4"/>
        </w:pBdr>
        <w:spacing w:after="140" w:before="320"/>
      </w:pPr>
      <w:r>
        <w:rPr>
          <w:rFonts w:ascii="Calibri" w:cs="Calibri" w:eastAsia="Calibri" w:hAnsi="Calibri"/>
          <w:b/>
          <w:bCs/>
          <w:color w:val="2E2A5E"/>
          <w:sz w:val="30"/>
          <w:szCs w:val="30"/>
        </w:rPr>
        <w:t xml:space="preserve">At a Glance</w:t>
      </w:r>
    </w:p>
    <w:p>
      <w:pPr>
        <w:spacing w:after="120" w:before="0" w:line="276"/>
      </w:pPr>
      <w:r>
        <w:rPr>
          <w:rFonts w:ascii="Calibri" w:cs="Calibri" w:eastAsia="Calibri" w:hAnsi="Calibri"/>
          <w:b w:val="false"/>
          <w:bCs w:val="false"/>
          <w:i w:val="false"/>
          <w:iCs w:val="false"/>
          <w:color w:val="1A1A2E"/>
          <w:sz w:val="22"/>
          <w:szCs w:val="22"/>
        </w:rPr>
        <w:t xml:space="preserve">This report scores the Selestial storefront across five areas on a 1–10 scale (1 = poor, 10 = excellent). The codebase shows strong engineering instincts — defense‑in‑depth middleware, a thoughtful component system, and meaningful structured data — but a small number of critical defects in authentication, data persistence, and metadata rendering materially lower the overall result. Each score below is justified in its section.</w:t>
      </w:r>
    </w:p>
    <w:p>
      <w:pPr>
        <w:spacing w:after="40"/>
      </w:pPr>
      <w:r>
        <w:rPr>
          <w:rFonts w:ascii="Calibri" w:cs="Calibri" w:eastAsia="Calibri" w:hAnsi="Calibri"/>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rPr>
          <w:tblHeader/>
        </w:trPr>
        <w:tc>
          <w:tcPr>
            <w:tcW w:type="dxa" w:w="3200"/>
            <w:tcBorders>
              <w:top w:val="single" w:color="C9C7DD" w:sz="1"/>
              <w:left w:val="single" w:color="C9C7DD" w:sz="1"/>
              <w:bottom w:val="single" w:color="C9C7DD" w:sz="1"/>
              <w:right w:val="single" w:color="C9C7DD" w:sz="1"/>
            </w:tcBorders>
            <w:shd w:fill="2E2A5E" w:color="auto" w:val="clear"/>
            <w:tcMar>
              <w:top w:type="dxa" w:w="70"/>
              <w:left w:type="dxa" w:w="110"/>
              <w:bottom w:type="dxa" w:w="70"/>
              <w:right w:type="dxa" w:w="110"/>
            </w:tcMar>
            <w:vAlign w:val="center"/>
          </w:tcPr>
          <w:p>
            <w:pPr>
              <w:spacing w:after="0" w:line="264"/>
            </w:pPr>
            <w:r>
              <w:rPr>
                <w:rFonts w:ascii="Calibri" w:cs="Calibri" w:eastAsia="Calibri" w:hAnsi="Calibri"/>
                <w:b/>
                <w:bCs/>
                <w:color w:val="FFFFFF"/>
                <w:sz w:val="20"/>
                <w:szCs w:val="20"/>
              </w:rPr>
              <w:t xml:space="preserve">Category</w:t>
            </w:r>
          </w:p>
        </w:tc>
        <w:tc>
          <w:tcPr>
            <w:tcW w:type="dxa" w:w="1400"/>
            <w:tcBorders>
              <w:top w:val="single" w:color="C9C7DD" w:sz="1"/>
              <w:left w:val="single" w:color="C9C7DD" w:sz="1"/>
              <w:bottom w:val="single" w:color="C9C7DD" w:sz="1"/>
              <w:right w:val="single" w:color="C9C7DD" w:sz="1"/>
            </w:tcBorders>
            <w:shd w:fill="2E2A5E" w:color="auto" w:val="clear"/>
            <w:tcMar>
              <w:top w:type="dxa" w:w="70"/>
              <w:left w:type="dxa" w:w="110"/>
              <w:bottom w:type="dxa" w:w="70"/>
              <w:right w:type="dxa" w:w="110"/>
            </w:tcMar>
            <w:vAlign w:val="center"/>
          </w:tcPr>
          <w:p>
            <w:pPr>
              <w:spacing w:after="0" w:line="264"/>
              <w:jc w:val="center"/>
            </w:pPr>
            <w:r>
              <w:rPr>
                <w:rFonts w:ascii="Calibri" w:cs="Calibri" w:eastAsia="Calibri" w:hAnsi="Calibri"/>
                <w:b/>
                <w:bCs/>
                <w:color w:val="FFFFFF"/>
                <w:sz w:val="20"/>
                <w:szCs w:val="20"/>
              </w:rPr>
              <w:t xml:space="preserve">Score</w:t>
            </w:r>
          </w:p>
        </w:tc>
        <w:tc>
          <w:tcPr>
            <w:tcW w:type="dxa" w:w="4760"/>
            <w:tcBorders>
              <w:top w:val="single" w:color="C9C7DD" w:sz="1"/>
              <w:left w:val="single" w:color="C9C7DD" w:sz="1"/>
              <w:bottom w:val="single" w:color="C9C7DD" w:sz="1"/>
              <w:right w:val="single" w:color="C9C7DD" w:sz="1"/>
            </w:tcBorders>
            <w:shd w:fill="2E2A5E" w:color="auto" w:val="clear"/>
            <w:tcMar>
              <w:top w:type="dxa" w:w="70"/>
              <w:left w:type="dxa" w:w="110"/>
              <w:bottom w:type="dxa" w:w="70"/>
              <w:right w:type="dxa" w:w="110"/>
            </w:tcMar>
            <w:vAlign w:val="center"/>
          </w:tcPr>
          <w:p>
            <w:pPr>
              <w:spacing w:after="0" w:line="264"/>
            </w:pPr>
            <w:r>
              <w:rPr>
                <w:rFonts w:ascii="Calibri" w:cs="Calibri" w:eastAsia="Calibri" w:hAnsi="Calibri"/>
                <w:b/>
                <w:bCs/>
                <w:color w:val="FFFFFF"/>
                <w:sz w:val="20"/>
                <w:szCs w:val="20"/>
              </w:rPr>
              <w:t xml:space="preserve">Headline</w:t>
            </w:r>
          </w:p>
        </w:tc>
      </w:tr>
      <w:tr>
        <w:tc>
          <w:tcPr>
            <w:tcW w:type="dxa" w:w="3200"/>
            <w:tcBorders>
              <w:top w:val="single" w:color="C9C7DD" w:sz="1"/>
              <w:left w:val="single" w:color="C9C7DD" w:sz="1"/>
              <w:bottom w:val="single" w:color="C9C7DD" w:sz="1"/>
              <w:right w:val="single" w:color="C9C7DD" w:sz="1"/>
            </w:tcBorders>
            <w:tcMar>
              <w:top w:type="dxa" w:w="70"/>
              <w:left w:type="dxa" w:w="110"/>
              <w:bottom w:type="dxa" w:w="70"/>
              <w:right w:type="dxa" w:w="110"/>
            </w:tcMar>
            <w:vAlign w:val="center"/>
          </w:tcPr>
          <w:p>
            <w:pPr>
              <w:spacing w:after="0" w:line="264"/>
            </w:pPr>
            <w:r>
              <w:rPr>
                <w:rFonts w:ascii="Calibri" w:cs="Calibri" w:eastAsia="Calibri" w:hAnsi="Calibri"/>
                <w:b w:val="false"/>
                <w:bCs w:val="false"/>
                <w:color w:val="1A1A2E"/>
                <w:sz w:val="21"/>
                <w:szCs w:val="21"/>
              </w:rPr>
              <w:t xml:space="preserve">Security</w:t>
            </w:r>
          </w:p>
        </w:tc>
        <w:tc>
          <w:tcPr>
            <w:tcW w:type="dxa" w:w="1400"/>
            <w:tcBorders>
              <w:top w:val="single" w:color="C9C7DD" w:sz="1"/>
              <w:left w:val="single" w:color="C9C7DD" w:sz="1"/>
              <w:bottom w:val="single" w:color="C9C7DD" w:sz="1"/>
              <w:right w:val="single" w:color="C9C7DD" w:sz="1"/>
            </w:tcBorders>
            <w:tcMar>
              <w:top w:type="dxa" w:w="70"/>
              <w:left w:type="dxa" w:w="110"/>
              <w:bottom w:type="dxa" w:w="70"/>
              <w:right w:type="dxa" w:w="110"/>
            </w:tcMar>
            <w:vAlign w:val="center"/>
          </w:tcPr>
          <w:p>
            <w:pPr>
              <w:spacing w:after="0"/>
              <w:jc w:val="center"/>
            </w:pPr>
            <w:r>
              <w:rPr>
                <w:rFonts w:ascii="Calibri" w:cs="Calibri" w:eastAsia="Calibri" w:hAnsi="Calibri"/>
                <w:b/>
                <w:bCs/>
                <w:color w:val="B00020"/>
                <w:sz w:val="22"/>
                <w:szCs w:val="22"/>
              </w:rPr>
              <w:t xml:space="preserve">4/10</w:t>
            </w:r>
          </w:p>
        </w:tc>
        <w:tc>
          <w:tcPr>
            <w:tcW w:type="dxa" w:w="4760"/>
            <w:tcBorders>
              <w:top w:val="single" w:color="C9C7DD" w:sz="1"/>
              <w:left w:val="single" w:color="C9C7DD" w:sz="1"/>
              <w:bottom w:val="single" w:color="C9C7DD" w:sz="1"/>
              <w:right w:val="single" w:color="C9C7DD" w:sz="1"/>
            </w:tcBorders>
            <w:tcMar>
              <w:top w:type="dxa" w:w="70"/>
              <w:left w:type="dxa" w:w="110"/>
              <w:bottom w:type="dxa" w:w="70"/>
              <w:right w:type="dxa" w:w="110"/>
            </w:tcMar>
            <w:vAlign w:val="center"/>
          </w:tcPr>
          <w:p>
            <w:pPr>
              <w:spacing w:after="0" w:line="264"/>
            </w:pPr>
            <w:r>
              <w:rPr>
                <w:rFonts w:ascii="Calibri" w:cs="Calibri" w:eastAsia="Calibri" w:hAnsi="Calibri"/>
                <w:b w:val="false"/>
                <w:bCs w:val="false"/>
                <w:color w:val="1A1A2E"/>
                <w:sz w:val="20"/>
                <w:szCs w:val="20"/>
              </w:rPr>
              <w:t xml:space="preserve">Solid hygiene undercut by a customer‑login auth bypass and PII committed to version control.</w:t>
            </w:r>
          </w:p>
        </w:tc>
      </w:tr>
      <w:tr>
        <w:tc>
          <w:tcPr>
            <w:tcW w:type="dxa" w:w="3200"/>
            <w:tcBorders>
              <w:top w:val="single" w:color="C9C7DD" w:sz="1"/>
              <w:left w:val="single" w:color="C9C7DD" w:sz="1"/>
              <w:bottom w:val="single" w:color="C9C7DD" w:sz="1"/>
              <w:right w:val="single" w:color="C9C7DD" w:sz="1"/>
            </w:tcBorders>
            <w:shd w:fill="F7F6FB" w:color="auto" w:val="clear"/>
            <w:tcMar>
              <w:top w:type="dxa" w:w="70"/>
              <w:left w:type="dxa" w:w="110"/>
              <w:bottom w:type="dxa" w:w="70"/>
              <w:right w:type="dxa" w:w="110"/>
            </w:tcMar>
            <w:vAlign w:val="center"/>
          </w:tcPr>
          <w:p>
            <w:pPr>
              <w:spacing w:after="0" w:line="264"/>
            </w:pPr>
            <w:r>
              <w:rPr>
                <w:rFonts w:ascii="Calibri" w:cs="Calibri" w:eastAsia="Calibri" w:hAnsi="Calibri"/>
                <w:b w:val="false"/>
                <w:bCs w:val="false"/>
                <w:color w:val="1A1A2E"/>
                <w:sz w:val="21"/>
                <w:szCs w:val="21"/>
              </w:rPr>
              <w:t xml:space="preserve">UI/UX Design</w:t>
            </w:r>
          </w:p>
        </w:tc>
        <w:tc>
          <w:tcPr>
            <w:tcW w:type="dxa" w:w="1400"/>
            <w:tcBorders>
              <w:top w:val="single" w:color="C9C7DD" w:sz="1"/>
              <w:left w:val="single" w:color="C9C7DD" w:sz="1"/>
              <w:bottom w:val="single" w:color="C9C7DD" w:sz="1"/>
              <w:right w:val="single" w:color="C9C7DD" w:sz="1"/>
            </w:tcBorders>
            <w:shd w:fill="F7F6FB" w:color="auto" w:val="clear"/>
            <w:tcMar>
              <w:top w:type="dxa" w:w="70"/>
              <w:left w:type="dxa" w:w="110"/>
              <w:bottom w:type="dxa" w:w="70"/>
              <w:right w:type="dxa" w:w="110"/>
            </w:tcMar>
            <w:vAlign w:val="center"/>
          </w:tcPr>
          <w:p>
            <w:pPr>
              <w:spacing w:after="0"/>
              <w:jc w:val="center"/>
            </w:pPr>
            <w:r>
              <w:rPr>
                <w:rFonts w:ascii="Calibri" w:cs="Calibri" w:eastAsia="Calibri" w:hAnsi="Calibri"/>
                <w:b/>
                <w:bCs/>
                <w:color w:val="15803D"/>
                <w:sz w:val="22"/>
                <w:szCs w:val="22"/>
              </w:rPr>
              <w:t xml:space="preserve">7/10</w:t>
            </w:r>
          </w:p>
        </w:tc>
        <w:tc>
          <w:tcPr>
            <w:tcW w:type="dxa" w:w="4760"/>
            <w:tcBorders>
              <w:top w:val="single" w:color="C9C7DD" w:sz="1"/>
              <w:left w:val="single" w:color="C9C7DD" w:sz="1"/>
              <w:bottom w:val="single" w:color="C9C7DD" w:sz="1"/>
              <w:right w:val="single" w:color="C9C7DD" w:sz="1"/>
            </w:tcBorders>
            <w:shd w:fill="F7F6FB" w:color="auto" w:val="clear"/>
            <w:tcMar>
              <w:top w:type="dxa" w:w="70"/>
              <w:left w:type="dxa" w:w="110"/>
              <w:bottom w:type="dxa" w:w="70"/>
              <w:right w:type="dxa" w:w="110"/>
            </w:tcMar>
            <w:vAlign w:val="center"/>
          </w:tcPr>
          <w:p>
            <w:pPr>
              <w:spacing w:after="0" w:line="264"/>
            </w:pPr>
            <w:r>
              <w:rPr>
                <w:rFonts w:ascii="Calibri" w:cs="Calibri" w:eastAsia="Calibri" w:hAnsi="Calibri"/>
                <w:b w:val="false"/>
                <w:bCs w:val="false"/>
                <w:color w:val="1A1A2E"/>
                <w:sz w:val="20"/>
                <w:szCs w:val="20"/>
              </w:rPr>
              <w:t xml:space="preserve">Polished, responsive, accessible search; let down by non‑semantic cards and hover‑only menus.</w:t>
            </w:r>
          </w:p>
        </w:tc>
      </w:tr>
      <w:tr>
        <w:tc>
          <w:tcPr>
            <w:tcW w:type="dxa" w:w="3200"/>
            <w:tcBorders>
              <w:top w:val="single" w:color="C9C7DD" w:sz="1"/>
              <w:left w:val="single" w:color="C9C7DD" w:sz="1"/>
              <w:bottom w:val="single" w:color="C9C7DD" w:sz="1"/>
              <w:right w:val="single" w:color="C9C7DD" w:sz="1"/>
            </w:tcBorders>
            <w:tcMar>
              <w:top w:type="dxa" w:w="70"/>
              <w:left w:type="dxa" w:w="110"/>
              <w:bottom w:type="dxa" w:w="70"/>
              <w:right w:type="dxa" w:w="110"/>
            </w:tcMar>
            <w:vAlign w:val="center"/>
          </w:tcPr>
          <w:p>
            <w:pPr>
              <w:spacing w:after="0" w:line="264"/>
            </w:pPr>
            <w:r>
              <w:rPr>
                <w:rFonts w:ascii="Calibri" w:cs="Calibri" w:eastAsia="Calibri" w:hAnsi="Calibri"/>
                <w:b w:val="false"/>
                <w:bCs w:val="false"/>
                <w:color w:val="1A1A2E"/>
                <w:sz w:val="21"/>
                <w:szCs w:val="21"/>
              </w:rPr>
              <w:t xml:space="preserve">Content</w:t>
            </w:r>
          </w:p>
        </w:tc>
        <w:tc>
          <w:tcPr>
            <w:tcW w:type="dxa" w:w="1400"/>
            <w:tcBorders>
              <w:top w:val="single" w:color="C9C7DD" w:sz="1"/>
              <w:left w:val="single" w:color="C9C7DD" w:sz="1"/>
              <w:bottom w:val="single" w:color="C9C7DD" w:sz="1"/>
              <w:right w:val="single" w:color="C9C7DD" w:sz="1"/>
            </w:tcBorders>
            <w:tcMar>
              <w:top w:type="dxa" w:w="70"/>
              <w:left w:type="dxa" w:w="110"/>
              <w:bottom w:type="dxa" w:w="70"/>
              <w:right w:type="dxa" w:w="110"/>
            </w:tcMar>
            <w:vAlign w:val="center"/>
          </w:tcPr>
          <w:p>
            <w:pPr>
              <w:spacing w:after="0"/>
              <w:jc w:val="center"/>
            </w:pPr>
            <w:r>
              <w:rPr>
                <w:rFonts w:ascii="Calibri" w:cs="Calibri" w:eastAsia="Calibri" w:hAnsi="Calibri"/>
                <w:b/>
                <w:bCs/>
                <w:color w:val="B45309"/>
                <w:sz w:val="22"/>
                <w:szCs w:val="22"/>
              </w:rPr>
              <w:t xml:space="preserve">6/10</w:t>
            </w:r>
          </w:p>
        </w:tc>
        <w:tc>
          <w:tcPr>
            <w:tcW w:type="dxa" w:w="4760"/>
            <w:tcBorders>
              <w:top w:val="single" w:color="C9C7DD" w:sz="1"/>
              <w:left w:val="single" w:color="C9C7DD" w:sz="1"/>
              <w:bottom w:val="single" w:color="C9C7DD" w:sz="1"/>
              <w:right w:val="single" w:color="C9C7DD" w:sz="1"/>
            </w:tcBorders>
            <w:tcMar>
              <w:top w:type="dxa" w:w="70"/>
              <w:left w:type="dxa" w:w="110"/>
              <w:bottom w:type="dxa" w:w="70"/>
              <w:right w:type="dxa" w:w="110"/>
            </w:tcMar>
            <w:vAlign w:val="center"/>
          </w:tcPr>
          <w:p>
            <w:pPr>
              <w:spacing w:after="0" w:line="264"/>
            </w:pPr>
            <w:r>
              <w:rPr>
                <w:rFonts w:ascii="Calibri" w:cs="Calibri" w:eastAsia="Calibri" w:hAnsi="Calibri"/>
                <w:b w:val="false"/>
                <w:bCs w:val="false"/>
                <w:color w:val="1A1A2E"/>
                <w:sz w:val="20"/>
                <w:szCs w:val="20"/>
              </w:rPr>
              <w:t xml:space="preserve">Strong brand voice and complete legal pages; homepage picks drift from the real catalog.</w:t>
            </w:r>
          </w:p>
        </w:tc>
      </w:tr>
      <w:tr>
        <w:tc>
          <w:tcPr>
            <w:tcW w:type="dxa" w:w="3200"/>
            <w:tcBorders>
              <w:top w:val="single" w:color="C9C7DD" w:sz="1"/>
              <w:left w:val="single" w:color="C9C7DD" w:sz="1"/>
              <w:bottom w:val="single" w:color="C9C7DD" w:sz="1"/>
              <w:right w:val="single" w:color="C9C7DD" w:sz="1"/>
            </w:tcBorders>
            <w:shd w:fill="F7F6FB" w:color="auto" w:val="clear"/>
            <w:tcMar>
              <w:top w:type="dxa" w:w="70"/>
              <w:left w:type="dxa" w:w="110"/>
              <w:bottom w:type="dxa" w:w="70"/>
              <w:right w:type="dxa" w:w="110"/>
            </w:tcMar>
            <w:vAlign w:val="center"/>
          </w:tcPr>
          <w:p>
            <w:pPr>
              <w:spacing w:after="0" w:line="264"/>
            </w:pPr>
            <w:r>
              <w:rPr>
                <w:rFonts w:ascii="Calibri" w:cs="Calibri" w:eastAsia="Calibri" w:hAnsi="Calibri"/>
                <w:b w:val="false"/>
                <w:bCs w:val="false"/>
                <w:color w:val="1A1A2E"/>
                <w:sz w:val="21"/>
                <w:szCs w:val="21"/>
              </w:rPr>
              <w:t xml:space="preserve">SEO / AEO / GEO</w:t>
            </w:r>
          </w:p>
        </w:tc>
        <w:tc>
          <w:tcPr>
            <w:tcW w:type="dxa" w:w="1400"/>
            <w:tcBorders>
              <w:top w:val="single" w:color="C9C7DD" w:sz="1"/>
              <w:left w:val="single" w:color="C9C7DD" w:sz="1"/>
              <w:bottom w:val="single" w:color="C9C7DD" w:sz="1"/>
              <w:right w:val="single" w:color="C9C7DD" w:sz="1"/>
            </w:tcBorders>
            <w:shd w:fill="F7F6FB" w:color="auto" w:val="clear"/>
            <w:tcMar>
              <w:top w:type="dxa" w:w="70"/>
              <w:left w:type="dxa" w:w="110"/>
              <w:bottom w:type="dxa" w:w="70"/>
              <w:right w:type="dxa" w:w="110"/>
            </w:tcMar>
            <w:vAlign w:val="center"/>
          </w:tcPr>
          <w:p>
            <w:pPr>
              <w:spacing w:after="0"/>
              <w:jc w:val="center"/>
            </w:pPr>
            <w:r>
              <w:rPr>
                <w:rFonts w:ascii="Calibri" w:cs="Calibri" w:eastAsia="Calibri" w:hAnsi="Calibri"/>
                <w:b/>
                <w:bCs/>
                <w:color w:val="B00020"/>
                <w:sz w:val="22"/>
                <w:szCs w:val="22"/>
              </w:rPr>
              <w:t xml:space="preserve">3/10</w:t>
            </w:r>
          </w:p>
        </w:tc>
        <w:tc>
          <w:tcPr>
            <w:tcW w:type="dxa" w:w="4760"/>
            <w:tcBorders>
              <w:top w:val="single" w:color="C9C7DD" w:sz="1"/>
              <w:left w:val="single" w:color="C9C7DD" w:sz="1"/>
              <w:bottom w:val="single" w:color="C9C7DD" w:sz="1"/>
              <w:right w:val="single" w:color="C9C7DD" w:sz="1"/>
            </w:tcBorders>
            <w:shd w:fill="F7F6FB" w:color="auto" w:val="clear"/>
            <w:tcMar>
              <w:top w:type="dxa" w:w="70"/>
              <w:left w:type="dxa" w:w="110"/>
              <w:bottom w:type="dxa" w:w="70"/>
              <w:right w:type="dxa" w:w="110"/>
            </w:tcMar>
            <w:vAlign w:val="center"/>
          </w:tcPr>
          <w:p>
            <w:pPr>
              <w:spacing w:after="0" w:line="264"/>
            </w:pPr>
            <w:r>
              <w:rPr>
                <w:rFonts w:ascii="Calibri" w:cs="Calibri" w:eastAsia="Calibri" w:hAnsi="Calibri"/>
                <w:b w:val="false"/>
                <w:bCs w:val="false"/>
                <w:color w:val="1A1A2E"/>
                <w:sz w:val="20"/>
                <w:szCs w:val="20"/>
              </w:rPr>
              <w:t xml:space="preserve">Good intent, broken execution: empty/duplicate titles, cross‑domain canonicals, dead sitemap.</w:t>
            </w:r>
          </w:p>
        </w:tc>
      </w:tr>
      <w:tr>
        <w:tc>
          <w:tcPr>
            <w:tcW w:type="dxa" w:w="3200"/>
            <w:tcBorders>
              <w:top w:val="single" w:color="C9C7DD" w:sz="1"/>
              <w:left w:val="single" w:color="C9C7DD" w:sz="1"/>
              <w:bottom w:val="single" w:color="C9C7DD" w:sz="1"/>
              <w:right w:val="single" w:color="C9C7DD" w:sz="1"/>
            </w:tcBorders>
            <w:tcMar>
              <w:top w:type="dxa" w:w="70"/>
              <w:left w:type="dxa" w:w="110"/>
              <w:bottom w:type="dxa" w:w="70"/>
              <w:right w:type="dxa" w:w="110"/>
            </w:tcMar>
            <w:vAlign w:val="center"/>
          </w:tcPr>
          <w:p>
            <w:pPr>
              <w:spacing w:after="0" w:line="264"/>
            </w:pPr>
            <w:r>
              <w:rPr>
                <w:rFonts w:ascii="Calibri" w:cs="Calibri" w:eastAsia="Calibri" w:hAnsi="Calibri"/>
                <w:b/>
                <w:bCs/>
                <w:color w:val="2E2A5E"/>
                <w:sz w:val="21"/>
                <w:szCs w:val="21"/>
              </w:rPr>
              <w:t xml:space="preserve">Overall</w:t>
            </w:r>
          </w:p>
        </w:tc>
        <w:tc>
          <w:tcPr>
            <w:tcW w:type="dxa" w:w="1400"/>
            <w:tcBorders>
              <w:top w:val="single" w:color="C9C7DD" w:sz="1"/>
              <w:left w:val="single" w:color="C9C7DD" w:sz="1"/>
              <w:bottom w:val="single" w:color="C9C7DD" w:sz="1"/>
              <w:right w:val="single" w:color="C9C7DD" w:sz="1"/>
            </w:tcBorders>
            <w:tcMar>
              <w:top w:type="dxa" w:w="70"/>
              <w:left w:type="dxa" w:w="110"/>
              <w:bottom w:type="dxa" w:w="70"/>
              <w:right w:type="dxa" w:w="110"/>
            </w:tcMar>
            <w:vAlign w:val="center"/>
          </w:tcPr>
          <w:p>
            <w:pPr>
              <w:spacing w:after="0"/>
              <w:jc w:val="center"/>
            </w:pPr>
            <w:r>
              <w:rPr>
                <w:rFonts w:ascii="Calibri" w:cs="Calibri" w:eastAsia="Calibri" w:hAnsi="Calibri"/>
                <w:b/>
                <w:bCs/>
                <w:color w:val="B45309"/>
                <w:sz w:val="22"/>
                <w:szCs w:val="22"/>
              </w:rPr>
              <w:t xml:space="preserve">5/10</w:t>
            </w:r>
          </w:p>
        </w:tc>
        <w:tc>
          <w:tcPr>
            <w:tcW w:type="dxa" w:w="4760"/>
            <w:tcBorders>
              <w:top w:val="single" w:color="C9C7DD" w:sz="1"/>
              <w:left w:val="single" w:color="C9C7DD" w:sz="1"/>
              <w:bottom w:val="single" w:color="C9C7DD" w:sz="1"/>
              <w:right w:val="single" w:color="C9C7DD" w:sz="1"/>
            </w:tcBorders>
            <w:tcMar>
              <w:top w:type="dxa" w:w="70"/>
              <w:left w:type="dxa" w:w="110"/>
              <w:bottom w:type="dxa" w:w="70"/>
              <w:right w:type="dxa" w:w="110"/>
            </w:tcMar>
            <w:vAlign w:val="center"/>
          </w:tcPr>
          <w:p>
            <w:pPr>
              <w:spacing w:after="0" w:line="264"/>
            </w:pPr>
            <w:r>
              <w:rPr>
                <w:rFonts w:ascii="Calibri" w:cs="Calibri" w:eastAsia="Calibri" w:hAnsi="Calibri"/>
                <w:b w:val="false"/>
                <w:bCs w:val="false"/>
                <w:color w:val="1A1A2E"/>
                <w:sz w:val="20"/>
                <w:szCs w:val="20"/>
              </w:rPr>
              <w:t xml:space="preserve">A promising, near‑launch build held back by a few high‑impact, fixable defects.</w:t>
            </w:r>
          </w:p>
        </w:tc>
      </w:tr>
    </w:tbl>
    <w:p>
      <w:pPr>
        <w:spacing w:after="60"/>
      </w:pPr>
      <w:r>
        <w:rPr>
          <w:rFonts w:ascii="Calibri" w:cs="Calibri" w:eastAsia="Calibri" w:hAnsi="Calibri"/>
          <w:sz w:val="2"/>
          <w:szCs w:val="2"/>
        </w:rPr>
        <w:t xml:space="preserve"/>
      </w:r>
    </w:p>
    <w:p>
      <w:pPr>
        <w:spacing w:after="120" w:before="0" w:line="276"/>
      </w:pPr>
      <w:r>
        <w:rPr>
          <w:rFonts w:ascii="Calibri" w:cs="Calibri" w:eastAsia="Calibri" w:hAnsi="Calibri"/>
          <w:b/>
          <w:bCs/>
          <w:color w:val="B00020"/>
          <w:sz w:val="22"/>
          <w:szCs w:val="22"/>
        </w:rPr>
        <w:t xml:space="preserve">Most urgent: </w:t>
      </w:r>
      <w:r>
        <w:rPr>
          <w:rFonts w:ascii="Calibri" w:cs="Calibri" w:eastAsia="Calibri" w:hAnsi="Calibri"/>
          <w:color w:val="1A1A2E"/>
          <w:sz w:val="22"/>
          <w:szCs w:val="22"/>
        </w:rPr>
        <w:t xml:space="preserve">(1) an authentication bypass on customer login, (2) customer PII and password hashes committed inside </w:t>
      </w:r>
      <w:r>
        <w:rPr>
          <w:rFonts w:ascii="Calibri" w:cs="Calibri" w:eastAsia="Calibri" w:hAnsi="Calibri"/>
          <w:b/>
          <w:bCs/>
          <w:color w:val="2E2A5E"/>
          <w:sz w:val="21"/>
          <w:szCs w:val="21"/>
        </w:rPr>
        <w:t xml:space="preserve">server/database.sqlite</w:t>
      </w:r>
      <w:r>
        <w:rPr>
          <w:rFonts w:ascii="Calibri" w:cs="Calibri" w:eastAsia="Calibri" w:hAnsi="Calibri"/>
          <w:color w:val="1A1A2E"/>
          <w:sz w:val="22"/>
          <w:szCs w:val="22"/>
        </w:rPr>
        <w:t xml:space="preserve">, and (3) page metadata that renders empty/duplicated with canonicals pointing at a domain that now hosts a different application.</w:t>
      </w:r>
    </w:p>
    <w:p>
      <w:r>
        <w:br w:type="page"/>
      </w:r>
    </w:p>
    <w:p>
      <w:pPr>
        <w:pStyle w:val="Heading1"/>
        <w:pBdr>
          <w:bottom w:val="single" w:color="6D5BD0" w:sz="10" w:space="4"/>
        </w:pBdr>
        <w:spacing w:after="140" w:before="320"/>
      </w:pPr>
      <w:r>
        <w:rPr>
          <w:rFonts w:ascii="Calibri" w:cs="Calibri" w:eastAsia="Calibri" w:hAnsi="Calibri"/>
          <w:b/>
          <w:bCs/>
          <w:color w:val="2E2A5E"/>
          <w:sz w:val="30"/>
          <w:szCs w:val="30"/>
        </w:rP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6D5BD0" w:sz="10" w:space="4"/>
        </w:pBdr>
        <w:spacing w:after="140" w:before="320"/>
      </w:pPr>
      <w:r>
        <w:rPr>
          <w:rFonts w:ascii="Calibri" w:cs="Calibri" w:eastAsia="Calibri" w:hAnsi="Calibri"/>
          <w:b/>
          <w:bCs/>
          <w:color w:val="2E2A5E"/>
          <w:sz w:val="30"/>
          <w:szCs w:val="30"/>
        </w:rPr>
        <w:t xml:space="preserve">1. Introduction</w:t>
      </w:r>
    </w:p>
    <w:p>
      <w:pPr>
        <w:spacing w:after="120" w:before="0" w:line="276"/>
      </w:pPr>
      <w:r>
        <w:rPr>
          <w:rFonts w:ascii="Calibri" w:cs="Calibri" w:eastAsia="Calibri" w:hAnsi="Calibri"/>
          <w:b w:val="false"/>
          <w:bCs w:val="false"/>
          <w:i w:val="false"/>
          <w:iCs w:val="false"/>
          <w:color w:val="1A1A2E"/>
          <w:sz w:val="22"/>
          <w:szCs w:val="22"/>
        </w:rPr>
        <w:t xml:space="preserve">Selestial is a celestial‑themed e‑commerce storefront selling 925 sterling‑silver jewellery. The frontend is a React 19 single‑page application built with Vite, styled with Tailwind, and animated with GSAP. The backend is an Express 5 API that runs both as a local Node server and as a Vercel serverless function. Persistence is split: relational data uses Node’s built‑in node:sqlite (via a small callback‑compatible wrapper), while orders, payments and customer snapshots are written to Vercel Blob when a token is present. Payments use Stripe, authentication supports email/password, phone OTP (Twilio) and Google OAuth, and transactional email is sent through Nodemailer.</w:t>
      </w:r>
    </w:p>
    <w:p>
      <w:pPr>
        <w:spacing w:after="120" w:before="0" w:line="276"/>
      </w:pPr>
      <w:r>
        <w:rPr>
          <w:rFonts w:ascii="Calibri" w:cs="Calibri" w:eastAsia="Calibri" w:hAnsi="Calibri"/>
          <w:b w:val="false"/>
          <w:bCs w:val="false"/>
          <w:i w:val="false"/>
          <w:iCs w:val="false"/>
          <w:color w:val="1A1A2E"/>
          <w:sz w:val="22"/>
          <w:szCs w:val="22"/>
        </w:rPr>
        <w:t xml:space="preserve">The review combined a line‑by‑line read of the source with live verification of the running deployment. During that live check an important fact surfaced: the URL hardcoded throughout the code as the production domain, selestial.vercel.app, now serves a completely different application (a medical‑learning site branded “AURICLE”). The actual Selestial store is live at selestial-lovat.vercel.app. This split between the “declared” and “real” domains is the root of several SEO findings and is flagged where relevant.</w:t>
      </w:r>
    </w:p>
    <w:p>
      <w:pPr>
        <w:spacing w:after="120" w:before="0" w:line="276"/>
      </w:pPr>
      <w:r>
        <w:rPr>
          <w:rFonts w:ascii="Calibri" w:cs="Calibri" w:eastAsia="Calibri" w:hAnsi="Calibri"/>
          <w:b w:val="false"/>
          <w:bCs w:val="false"/>
          <w:i w:val="false"/>
          <w:iCs w:val="false"/>
          <w:color w:val="1A1A2E"/>
          <w:sz w:val="22"/>
          <w:szCs w:val="22"/>
        </w:rPr>
        <w:t xml:space="preserve">Methodology: each area was assessed for correctness, robustness, security, and user/searcher experience. Findings are rated Critical, High, Medium, or Low by potential impact; notable strengths are recorded as Positive so the score is fair. In line with the engagement brief, this document describes problems and their consequences but deliberately contains no code, fixes, or patches.</w:t>
      </w:r>
    </w:p>
    <w:p>
      <w:pPr>
        <w:spacing w:after="120" w:before="0" w:line="276"/>
      </w:pPr>
      <w:r>
        <w:rPr>
          <w:rFonts w:ascii="Calibri" w:cs="Calibri" w:eastAsia="Calibri" w:hAnsi="Calibri"/>
          <w:color w:val="1A1A2E"/>
          <w:sz w:val="22"/>
          <w:szCs w:val="22"/>
        </w:rPr>
        <w:t xml:space="preserve">A genuine strength worth stating up front: the project includes an automated test suite (</w:t>
      </w:r>
      <w:r>
        <w:rPr>
          <w:rFonts w:ascii="Calibri" w:cs="Calibri" w:eastAsia="Calibri" w:hAnsi="Calibri"/>
          <w:b/>
          <w:bCs/>
          <w:color w:val="2E2A5E"/>
          <w:sz w:val="21"/>
          <w:szCs w:val="21"/>
        </w:rPr>
        <w:t xml:space="preserve">node --test</w:t>
      </w:r>
      <w:r>
        <w:rPr>
          <w:rFonts w:ascii="Calibri" w:cs="Calibri" w:eastAsia="Calibri" w:hAnsi="Calibri"/>
          <w:color w:val="1A1A2E"/>
          <w:sz w:val="22"/>
          <w:szCs w:val="22"/>
        </w:rPr>
        <w:t xml:space="preserve">) covering the order store, email formatting, image optimiser, and URL helpers. All 11 tests pass. However, the suite does not cover the authentication module, the checkout route, or the metadata layer — which is where the most serious defects live.</w:t>
      </w:r>
    </w:p>
    <w:p>
      <w:pPr>
        <w:pStyle w:val="Heading1"/>
        <w:pBdr>
          <w:bottom w:val="single" w:color="6D5BD0" w:sz="10" w:space="4"/>
        </w:pBdr>
        <w:spacing w:after="140" w:before="320"/>
      </w:pPr>
      <w:r>
        <w:rPr>
          <w:rFonts w:ascii="Calibri" w:cs="Calibri" w:eastAsia="Calibri" w:hAnsi="Calibri"/>
          <w:b/>
          <w:bCs/>
          <w:color w:val="2E2A5E"/>
          <w:sz w:val="30"/>
          <w:szCs w:val="30"/>
        </w:rPr>
        <w:t xml:space="preserve">2. Security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7DD" w:sz="1"/>
              <w:left w:val="single" w:color="B00020" w:sz="18"/>
              <w:bottom w:val="single" w:color="C9C7DD" w:sz="1"/>
              <w:right w:val="single" w:color="C9C7DD" w:sz="1"/>
            </w:tcBorders>
            <w:shd w:fill="ECEAF6" w:color="auto" w:val="clear"/>
            <w:tcMar>
              <w:top w:type="dxa" w:w="90"/>
              <w:left w:type="dxa" w:w="160"/>
              <w:bottom w:type="dxa" w:w="90"/>
              <w:right w:type="dxa" w:w="120"/>
            </w:tcMar>
            <w:vAlign w:val="center"/>
          </w:tcPr>
          <w:p>
            <w:pPr>
              <w:spacing w:after="0"/>
            </w:pPr>
            <w:r>
              <w:rPr>
                <w:rFonts w:ascii="Calibri" w:cs="Calibri" w:eastAsia="Calibri" w:hAnsi="Calibri"/>
                <w:b/>
                <w:bCs/>
                <w:color w:val="2E2A5E"/>
                <w:sz w:val="24"/>
                <w:szCs w:val="24"/>
              </w:rPr>
              <w:t xml:space="preserve">Security Score:  </w:t>
            </w:r>
            <w:r>
              <w:rPr>
                <w:rFonts w:ascii="Calibri" w:cs="Calibri" w:eastAsia="Calibri" w:hAnsi="Calibri"/>
                <w:b/>
                <w:bCs/>
                <w:color w:val="B00020"/>
                <w:sz w:val="24"/>
                <w:szCs w:val="24"/>
              </w:rPr>
              <w:t xml:space="preserve">4 / 10</w:t>
            </w:r>
          </w:p>
        </w:tc>
      </w:tr>
    </w:tbl>
    <w:p>
      <w:pPr>
        <w:spacing w:after="120" w:before="0" w:line="276"/>
      </w:pPr>
      <w:r>
        <w:rPr>
          <w:rFonts w:ascii="Calibri" w:cs="Calibri" w:eastAsia="Calibri" w:hAnsi="Calibri"/>
          <w:b w:val="false"/>
          <w:bCs w:val="false"/>
          <w:i w:val="false"/>
          <w:iCs w:val="false"/>
          <w:color w:val="1A1A2E"/>
          <w:sz w:val="22"/>
          <w:szCs w:val="22"/>
        </w:rPr>
        <w:t xml:space="preserve">The application gets the fundamentals right far more often than typical projects at this stage: Helmet sets security headers and a Content‑Security‑Policy; express‑rate‑limit guards the login, OTP and checkout routes; passwords are hashed with bcrypt; every SQL statement is parameterised (no injection was found); the server refuses to boot without a JWT secret; checkout re‑computes prices and stock server‑side rather than trusting the client; raw card fields are stripped before any persistence; the image endpoint is hardened against path traversal; and outbound emails are HTML‑escaped. These are real, credited strengths. The score is nonetheless held to a 4 because of one critical authentication bypass and the exposure of customer data in version control, either of which is independently serious for a store that takes payments and personal data.</w:t>
      </w:r>
    </w:p>
    <w:p>
      <w:pPr>
        <w:pStyle w:val="Heading2"/>
        <w:spacing w:after="90" w:before="220"/>
      </w:pPr>
      <w:r>
        <w:rPr>
          <w:rFonts w:ascii="Calibri" w:cs="Calibri" w:eastAsia="Calibri" w:hAnsi="Calibri"/>
          <w:b/>
          <w:bCs/>
          <w:color w:val="2E2A5E"/>
          <w:sz w:val="24"/>
          <w:szCs w:val="24"/>
        </w:rPr>
        <w:t xml:space="preserve">2.1 Critical &amp; high‑severity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3360"/>
      </w:tblGrid>
      <w:tr>
        <w:trPr>
          <w:tblHeader/>
        </w:trPr>
        <w:tc>
          <w:tcPr>
            <w:tcW w:type="dxa" w:w="1500"/>
            <w:tcBorders>
              <w:top w:val="single" w:color="C9C7DD" w:sz="1"/>
              <w:left w:val="single" w:color="C9C7DD" w:sz="1"/>
              <w:bottom w:val="single" w:color="C9C7DD" w:sz="1"/>
              <w:right w:val="single" w:color="C9C7DD" w:sz="1"/>
            </w:tcBorders>
            <w:shd w:fill="ECEAF6" w:color="auto" w:val="clear"/>
            <w:tcMar>
              <w:top w:type="dxa" w:w="70"/>
              <w:left w:type="dxa" w:w="110"/>
              <w:bottom w:type="dxa" w:w="70"/>
              <w:right w:type="dxa" w:w="110"/>
            </w:tcMar>
            <w:vAlign w:val="center"/>
          </w:tcPr>
          <w:p>
            <w:pPr>
              <w:spacing w:after="0" w:line="264"/>
            </w:pPr>
            <w:r>
              <w:rPr>
                <w:rFonts w:ascii="Calibri" w:cs="Calibri" w:eastAsia="Calibri" w:hAnsi="Calibri"/>
                <w:b/>
                <w:bCs/>
                <w:color w:val="2E2A5E"/>
                <w:sz w:val="20"/>
                <w:szCs w:val="20"/>
              </w:rPr>
              <w:t xml:space="preserve">Severity</w:t>
            </w:r>
          </w:p>
        </w:tc>
        <w:tc>
          <w:tcPr>
            <w:tcW w:type="dxa" w:w="4500"/>
            <w:tcBorders>
              <w:top w:val="single" w:color="C9C7DD" w:sz="1"/>
              <w:left w:val="single" w:color="C9C7DD" w:sz="1"/>
              <w:bottom w:val="single" w:color="C9C7DD" w:sz="1"/>
              <w:right w:val="single" w:color="C9C7DD" w:sz="1"/>
            </w:tcBorders>
            <w:shd w:fill="ECEAF6" w:color="auto" w:val="clear"/>
            <w:tcMar>
              <w:top w:type="dxa" w:w="70"/>
              <w:left w:type="dxa" w:w="110"/>
              <w:bottom w:type="dxa" w:w="70"/>
              <w:right w:type="dxa" w:w="110"/>
            </w:tcMar>
            <w:vAlign w:val="center"/>
          </w:tcPr>
          <w:p>
            <w:pPr>
              <w:spacing w:after="0" w:line="264"/>
            </w:pPr>
            <w:r>
              <w:rPr>
                <w:rFonts w:ascii="Calibri" w:cs="Calibri" w:eastAsia="Calibri" w:hAnsi="Calibri"/>
                <w:b/>
                <w:bCs/>
                <w:color w:val="2E2A5E"/>
                <w:sz w:val="20"/>
                <w:szCs w:val="20"/>
              </w:rPr>
              <w:t xml:space="preserve">Finding</w:t>
            </w:r>
          </w:p>
        </w:tc>
        <w:tc>
          <w:tcPr>
            <w:tcW w:type="dxa" w:w="3360"/>
            <w:tcBorders>
              <w:top w:val="single" w:color="C9C7DD" w:sz="1"/>
              <w:left w:val="single" w:color="C9C7DD" w:sz="1"/>
              <w:bottom w:val="single" w:color="C9C7DD" w:sz="1"/>
              <w:right w:val="single" w:color="C9C7DD" w:sz="1"/>
            </w:tcBorders>
            <w:shd w:fill="ECEAF6" w:color="auto" w:val="clear"/>
            <w:tcMar>
              <w:top w:type="dxa" w:w="70"/>
              <w:left w:type="dxa" w:w="110"/>
              <w:bottom w:type="dxa" w:w="70"/>
              <w:right w:type="dxa" w:w="110"/>
            </w:tcMar>
            <w:vAlign w:val="center"/>
          </w:tcPr>
          <w:p>
            <w:pPr>
              <w:spacing w:after="0" w:line="264"/>
            </w:pPr>
            <w:r>
              <w:rPr>
                <w:rFonts w:ascii="Calibri" w:cs="Calibri" w:eastAsia="Calibri" w:hAnsi="Calibri"/>
                <w:b/>
                <w:bCs/>
                <w:color w:val="2E2A5E"/>
                <w:sz w:val="20"/>
                <w:szCs w:val="20"/>
              </w:rPr>
              <w:t xml:space="preserve">Why it matters</w:t>
            </w:r>
          </w:p>
        </w:tc>
      </w:tr>
      <w:tr>
        <w:tc>
          <w:tcPr>
            <w:tcW w:type="dxa" w:w="1500"/>
            <w:tcBorders>
              <w:top w:val="single" w:color="C9C7DD" w:sz="1"/>
              <w:left w:val="single" w:color="C9C7DD" w:sz="1"/>
              <w:bottom w:val="single" w:color="C9C7DD" w:sz="1"/>
              <w:right w:val="single" w:color="C9C7DD" w:sz="1"/>
            </w:tcBorders>
            <w:tcMar>
              <w:top w:type="dxa" w:w="70"/>
              <w:left w:type="dxa" w:w="110"/>
              <w:bottom w:type="dxa" w:w="70"/>
              <w:right w:type="dxa" w:w="110"/>
            </w:tcMar>
            <w:vAlign w:val="center"/>
          </w:tcPr>
          <w:p>
            <w:pPr>
              <w:spacing w:after="0"/>
            </w:pPr>
            <w:r>
              <w:rPr>
                <w:rFonts w:ascii="Calibri" w:cs="Calibri" w:eastAsia="Calibri" w:hAnsi="Calibri"/>
                <w:b/>
                <w:bCs/>
                <w:color w:val="B00020"/>
                <w:sz w:val="20"/>
                <w:szCs w:val="20"/>
              </w:rPr>
              <w:t xml:space="preserve">Critical</w:t>
            </w:r>
          </w:p>
        </w:tc>
        <w:tc>
          <w:tcPr>
            <w:tcW w:type="dxa" w:w="4500"/>
            <w:tcBorders>
              <w:top w:val="single" w:color="C9C7DD" w:sz="1"/>
              <w:left w:val="single" w:color="C9C7DD" w:sz="1"/>
              <w:bottom w:val="single" w:color="C9C7DD" w:sz="1"/>
              <w:right w:val="single" w:color="C9C7DD" w:sz="1"/>
            </w:tcBorders>
            <w:tcMar>
              <w:top w:type="dxa" w:w="70"/>
              <w:left w:type="dxa" w:w="110"/>
              <w:bottom w:type="dxa" w:w="70"/>
              <w:right w:type="dxa" w:w="110"/>
            </w:tcMar>
            <w:vAlign w:val="center"/>
          </w:tcPr>
          <w:p>
            <w:pPr>
              <w:spacing w:after="0" w:line="264"/>
            </w:pPr>
            <w:r>
              <w:rPr>
                <w:rFonts w:ascii="Calibri" w:cs="Calibri" w:eastAsia="Calibri" w:hAnsi="Calibri"/>
                <w:b/>
                <w:bCs/>
                <w:color w:val="1A1A2E"/>
                <w:sz w:val="20"/>
                <w:szCs w:val="20"/>
              </w:rPr>
              <w:t xml:space="preserve">Customer‑login password check can be skipped</w:t>
            </w:r>
          </w:p>
          <w:p>
            <w:pPr>
              <w:spacing w:after="0" w:before="30" w:line="264"/>
            </w:pPr>
            <w:r>
              <w:rPr>
                <w:rFonts w:ascii="Calibri" w:cs="Calibri" w:eastAsia="Calibri" w:hAnsi="Calibri"/>
                <w:color w:val="6B7280"/>
                <w:sz w:val="19"/>
                <w:szCs w:val="19"/>
              </w:rPr>
              <w:t xml:space="preserve">The customer login handler skips password verification whenever the request body declares auth_provider as “google” or “otp”.</w:t>
            </w:r>
          </w:p>
        </w:tc>
        <w:tc>
          <w:tcPr>
            <w:tcW w:type="dxa" w:w="3360"/>
            <w:tcBorders>
              <w:top w:val="single" w:color="C9C7DD" w:sz="1"/>
              <w:left w:val="single" w:color="C9C7DD" w:sz="1"/>
              <w:bottom w:val="single" w:color="C9C7DD" w:sz="1"/>
              <w:right w:val="single" w:color="C9C7DD" w:sz="1"/>
            </w:tcBorders>
            <w:tcMar>
              <w:top w:type="dxa" w:w="70"/>
              <w:left w:type="dxa" w:w="110"/>
              <w:bottom w:type="dxa" w:w="70"/>
              <w:right w:type="dxa" w:w="110"/>
            </w:tcMar>
            <w:vAlign w:val="center"/>
          </w:tcPr>
          <w:p>
            <w:pPr>
              <w:spacing w:after="0" w:line="264"/>
            </w:pPr>
            <w:r>
              <w:rPr>
                <w:rFonts w:ascii="Calibri" w:cs="Calibri" w:eastAsia="Calibri" w:hAnsi="Calibri"/>
                <w:b w:val="false"/>
                <w:bCs w:val="false"/>
                <w:color w:val="1A1A2E"/>
                <w:sz w:val="19"/>
                <w:szCs w:val="19"/>
              </w:rPr>
              <w:t xml:space="preserve">Because the client controls that field, anyone can request a valid 7‑day session for any account by supplying only its email or phone — a full account‑takeover bypass. The legitimate Google/OTP routes that actually verify a credential are separate; this branch trusts an unverified claim.</w:t>
            </w:r>
          </w:p>
        </w:tc>
      </w:tr>
      <w:tr>
        <w:tc>
          <w:tcPr>
            <w:tcW w:type="dxa" w:w="1500"/>
            <w:tcBorders>
              <w:top w:val="single" w:color="C9C7DD" w:sz="1"/>
              <w:left w:val="single" w:color="C9C7DD" w:sz="1"/>
              <w:bottom w:val="single" w:color="C9C7DD" w:sz="1"/>
              <w:right w:val="single" w:color="C9C7DD" w:sz="1"/>
            </w:tcBorders>
            <w:shd w:fill="F7F6FB" w:color="auto" w:val="clear"/>
            <w:tcMar>
              <w:top w:type="dxa" w:w="70"/>
              <w:left w:type="dxa" w:w="110"/>
              <w:bottom w:type="dxa" w:w="70"/>
              <w:right w:type="dxa" w:w="110"/>
            </w:tcMar>
            <w:vAlign w:val="center"/>
          </w:tcPr>
          <w:p>
            <w:pPr>
              <w:spacing w:after="0"/>
            </w:pPr>
            <w:r>
              <w:rPr>
                <w:rFonts w:ascii="Calibri" w:cs="Calibri" w:eastAsia="Calibri" w:hAnsi="Calibri"/>
                <w:b/>
                <w:bCs/>
                <w:color w:val="C2410C"/>
                <w:sz w:val="20"/>
                <w:szCs w:val="20"/>
              </w:rPr>
              <w:t xml:space="preserve">High</w:t>
            </w:r>
          </w:p>
        </w:tc>
        <w:tc>
          <w:tcPr>
            <w:tcW w:type="dxa" w:w="4500"/>
            <w:tcBorders>
              <w:top w:val="single" w:color="C9C7DD" w:sz="1"/>
              <w:left w:val="single" w:color="C9C7DD" w:sz="1"/>
              <w:bottom w:val="single" w:color="C9C7DD" w:sz="1"/>
              <w:right w:val="single" w:color="C9C7DD" w:sz="1"/>
            </w:tcBorders>
            <w:shd w:fill="F7F6FB" w:color="auto" w:val="clear"/>
            <w:tcMar>
              <w:top w:type="dxa" w:w="70"/>
              <w:left w:type="dxa" w:w="110"/>
              <w:bottom w:type="dxa" w:w="70"/>
              <w:right w:type="dxa" w:w="110"/>
            </w:tcMar>
            <w:vAlign w:val="center"/>
          </w:tcPr>
          <w:p>
            <w:pPr>
              <w:spacing w:after="0" w:line="264"/>
            </w:pPr>
            <w:r>
              <w:rPr>
                <w:rFonts w:ascii="Calibri" w:cs="Calibri" w:eastAsia="Calibri" w:hAnsi="Calibri"/>
                <w:b/>
                <w:bCs/>
                <w:color w:val="1A1A2E"/>
                <w:sz w:val="20"/>
                <w:szCs w:val="20"/>
              </w:rPr>
              <w:t xml:space="preserve">Customer PII &amp; password hashes committed to the repo</w:t>
            </w:r>
          </w:p>
          <w:p>
            <w:pPr>
              <w:spacing w:after="0" w:before="30" w:line="264"/>
            </w:pPr>
            <w:r>
              <w:rPr>
                <w:rFonts w:ascii="Calibri" w:cs="Calibri" w:eastAsia="Calibri" w:hAnsi="Calibri"/>
                <w:color w:val="6B7280"/>
                <w:sz w:val="19"/>
                <w:szCs w:val="19"/>
              </w:rPr>
              <w:t xml:space="preserve">server/database.sqlite is tracked in git and ships inside the build. It currently contains 4 customer records (2 with bcrypt hashes), 3 orders with shipping addresses, and the admin password hash.</w:t>
            </w:r>
          </w:p>
        </w:tc>
        <w:tc>
          <w:tcPr>
            <w:tcW w:type="dxa" w:w="3360"/>
            <w:tcBorders>
              <w:top w:val="single" w:color="C9C7DD" w:sz="1"/>
              <w:left w:val="single" w:color="C9C7DD" w:sz="1"/>
              <w:bottom w:val="single" w:color="C9C7DD" w:sz="1"/>
              <w:right w:val="single" w:color="C9C7DD" w:sz="1"/>
            </w:tcBorders>
            <w:shd w:fill="F7F6FB" w:color="auto" w:val="clear"/>
            <w:tcMar>
              <w:top w:type="dxa" w:w="70"/>
              <w:left w:type="dxa" w:w="110"/>
              <w:bottom w:type="dxa" w:w="70"/>
              <w:right w:type="dxa" w:w="110"/>
            </w:tcMar>
            <w:vAlign w:val="center"/>
          </w:tcPr>
          <w:p>
            <w:pPr>
              <w:spacing w:after="0" w:line="264"/>
            </w:pPr>
            <w:r>
              <w:rPr>
                <w:rFonts w:ascii="Calibri" w:cs="Calibri" w:eastAsia="Calibri" w:hAnsi="Calibri"/>
                <w:b w:val="false"/>
                <w:bCs w:val="false"/>
                <w:color w:val="1A1A2E"/>
                <w:sz w:val="19"/>
                <w:szCs w:val="19"/>
              </w:rPr>
              <w:t xml:space="preserve">Personal data and credential hashes live in version history and the deployed artifact. Anyone with repo or build access obtains customer PII; the data also cannot be removed by simply deleting the file later.</w:t>
            </w:r>
          </w:p>
        </w:tc>
      </w:tr>
      <w:tr>
        <w:tc>
          <w:tcPr>
            <w:tcW w:type="dxa" w:w="1500"/>
            <w:tcBorders>
              <w:top w:val="single" w:color="C9C7DD" w:sz="1"/>
              <w:left w:val="single" w:color="C9C7DD" w:sz="1"/>
              <w:bottom w:val="single" w:color="C9C7DD" w:sz="1"/>
              <w:right w:val="single" w:color="C9C7DD" w:sz="1"/>
            </w:tcBorders>
            <w:tcMar>
              <w:top w:type="dxa" w:w="70"/>
              <w:left w:type="dxa" w:w="110"/>
              <w:bottom w:type="dxa" w:w="70"/>
              <w:right w:type="dxa" w:w="110"/>
            </w:tcMar>
            <w:vAlign w:val="center"/>
          </w:tcPr>
          <w:p>
            <w:pPr>
              <w:spacing w:after="0"/>
            </w:pPr>
            <w:r>
              <w:rPr>
                <w:rFonts w:ascii="Calibri" w:cs="Calibri" w:eastAsia="Calibri" w:hAnsi="Calibri"/>
                <w:b/>
                <w:bCs/>
                <w:color w:val="C2410C"/>
                <w:sz w:val="20"/>
                <w:szCs w:val="20"/>
              </w:rPr>
              <w:t xml:space="preserve">High</w:t>
            </w:r>
          </w:p>
        </w:tc>
        <w:tc>
          <w:tcPr>
            <w:tcW w:type="dxa" w:w="4500"/>
            <w:tcBorders>
              <w:top w:val="single" w:color="C9C7DD" w:sz="1"/>
              <w:left w:val="single" w:color="C9C7DD" w:sz="1"/>
              <w:bottom w:val="single" w:color="C9C7DD" w:sz="1"/>
              <w:right w:val="single" w:color="C9C7DD" w:sz="1"/>
            </w:tcBorders>
            <w:tcMar>
              <w:top w:type="dxa" w:w="70"/>
              <w:left w:type="dxa" w:w="110"/>
              <w:bottom w:type="dxa" w:w="70"/>
              <w:right w:type="dxa" w:w="110"/>
            </w:tcMar>
            <w:vAlign w:val="center"/>
          </w:tcPr>
          <w:p>
            <w:pPr>
              <w:spacing w:after="0" w:line="264"/>
            </w:pPr>
            <w:r>
              <w:rPr>
                <w:rFonts w:ascii="Calibri" w:cs="Calibri" w:eastAsia="Calibri" w:hAnsi="Calibri"/>
                <w:b/>
                <w:bCs/>
                <w:color w:val="1A1A2E"/>
                <w:sz w:val="20"/>
                <w:szCs w:val="20"/>
              </w:rPr>
              <w:t xml:space="preserve">Default admin credentials as a fallback</w:t>
            </w:r>
          </w:p>
          <w:p>
            <w:pPr>
              <w:spacing w:after="0" w:before="30" w:line="264"/>
            </w:pPr>
            <w:r>
              <w:rPr>
                <w:rFonts w:ascii="Calibri" w:cs="Calibri" w:eastAsia="Calibri" w:hAnsi="Calibri"/>
                <w:color w:val="6B7280"/>
                <w:sz w:val="19"/>
                <w:szCs w:val="19"/>
              </w:rPr>
              <w:t xml:space="preserve">If ADMIN_PASSWORD is unset at start‑up, the database seeds admin / Admin123! and prints the credentials to the log.</w:t>
            </w:r>
          </w:p>
        </w:tc>
        <w:tc>
          <w:tcPr>
            <w:tcW w:type="dxa" w:w="3360"/>
            <w:tcBorders>
              <w:top w:val="single" w:color="C9C7DD" w:sz="1"/>
              <w:left w:val="single" w:color="C9C7DD" w:sz="1"/>
              <w:bottom w:val="single" w:color="C9C7DD" w:sz="1"/>
              <w:right w:val="single" w:color="C9C7DD" w:sz="1"/>
            </w:tcBorders>
            <w:tcMar>
              <w:top w:type="dxa" w:w="70"/>
              <w:left w:type="dxa" w:w="110"/>
              <w:bottom w:type="dxa" w:w="70"/>
              <w:right w:type="dxa" w:w="110"/>
            </w:tcMar>
            <w:vAlign w:val="center"/>
          </w:tcPr>
          <w:p>
            <w:pPr>
              <w:spacing w:after="0" w:line="264"/>
            </w:pPr>
            <w:r>
              <w:rPr>
                <w:rFonts w:ascii="Calibri" w:cs="Calibri" w:eastAsia="Calibri" w:hAnsi="Calibri"/>
                <w:b w:val="false"/>
                <w:bCs w:val="false"/>
                <w:color w:val="1A1A2E"/>
                <w:sz w:val="19"/>
                <w:szCs w:val="19"/>
              </w:rPr>
              <w:t xml:space="preserve">Any deployment that misses the env var ships with publicly‑known admin credentials, granting full access to orders, customers, payments and product management.</w:t>
            </w:r>
          </w:p>
        </w:tc>
      </w:tr>
      <w:tr>
        <w:tc>
          <w:tcPr>
            <w:tcW w:type="dxa" w:w="1500"/>
            <w:tcBorders>
              <w:top w:val="single" w:color="C9C7DD" w:sz="1"/>
              <w:left w:val="single" w:color="C9C7DD" w:sz="1"/>
              <w:bottom w:val="single" w:color="C9C7DD" w:sz="1"/>
              <w:right w:val="single" w:color="C9C7DD" w:sz="1"/>
            </w:tcBorders>
            <w:shd w:fill="F7F6FB" w:color="auto" w:val="clear"/>
            <w:tcMar>
              <w:top w:type="dxa" w:w="70"/>
              <w:left w:type="dxa" w:w="110"/>
              <w:bottom w:type="dxa" w:w="70"/>
              <w:right w:type="dxa" w:w="110"/>
            </w:tcMar>
            <w:vAlign w:val="center"/>
          </w:tcPr>
          <w:p>
            <w:pPr>
              <w:spacing w:after="0"/>
            </w:pPr>
            <w:r>
              <w:rPr>
                <w:rFonts w:ascii="Calibri" w:cs="Calibri" w:eastAsia="Calibri" w:hAnsi="Calibri"/>
                <w:b/>
                <w:bCs/>
                <w:color w:val="C2410C"/>
                <w:sz w:val="20"/>
                <w:szCs w:val="20"/>
              </w:rPr>
              <w:t xml:space="preserve">High</w:t>
            </w:r>
          </w:p>
        </w:tc>
        <w:tc>
          <w:tcPr>
            <w:tcW w:type="dxa" w:w="4500"/>
            <w:tcBorders>
              <w:top w:val="single" w:color="C9C7DD" w:sz="1"/>
              <w:left w:val="single" w:color="C9C7DD" w:sz="1"/>
              <w:bottom w:val="single" w:color="C9C7DD" w:sz="1"/>
              <w:right w:val="single" w:color="C9C7DD" w:sz="1"/>
            </w:tcBorders>
            <w:shd w:fill="F7F6FB" w:color="auto" w:val="clear"/>
            <w:tcMar>
              <w:top w:type="dxa" w:w="70"/>
              <w:left w:type="dxa" w:w="110"/>
              <w:bottom w:type="dxa" w:w="70"/>
              <w:right w:type="dxa" w:w="110"/>
            </w:tcMar>
            <w:vAlign w:val="center"/>
          </w:tcPr>
          <w:p>
            <w:pPr>
              <w:spacing w:after="0" w:line="264"/>
            </w:pPr>
            <w:r>
              <w:rPr>
                <w:rFonts w:ascii="Calibri" w:cs="Calibri" w:eastAsia="Calibri" w:hAnsi="Calibri"/>
                <w:b/>
                <w:bCs/>
                <w:color w:val="1A1A2E"/>
                <w:sz w:val="20"/>
                <w:szCs w:val="20"/>
              </w:rPr>
              <w:t xml:space="preserve">Ephemeral data store on serverless</w:t>
            </w:r>
          </w:p>
          <w:p>
            <w:pPr>
              <w:spacing w:after="0" w:before="30" w:line="264"/>
            </w:pPr>
            <w:r>
              <w:rPr>
                <w:rFonts w:ascii="Calibri" w:cs="Calibri" w:eastAsia="Calibri" w:hAnsi="Calibri"/>
                <w:color w:val="6B7280"/>
                <w:sz w:val="19"/>
                <w:szCs w:val="19"/>
              </w:rPr>
              <w:t xml:space="preserve">On Vercel the SQLite file is copied to /tmp, which is not durable across cold starts or instances. Customer accounts (signup/login), inventory deductions, reviews, newsletter sign‑ups and OTP sessions all live there.</w:t>
            </w:r>
          </w:p>
        </w:tc>
        <w:tc>
          <w:tcPr>
            <w:tcW w:type="dxa" w:w="3360"/>
            <w:tcBorders>
              <w:top w:val="single" w:color="C9C7DD" w:sz="1"/>
              <w:left w:val="single" w:color="C9C7DD" w:sz="1"/>
              <w:bottom w:val="single" w:color="C9C7DD" w:sz="1"/>
              <w:right w:val="single" w:color="C9C7DD" w:sz="1"/>
            </w:tcBorders>
            <w:shd w:fill="F7F6FB" w:color="auto" w:val="clear"/>
            <w:tcMar>
              <w:top w:type="dxa" w:w="70"/>
              <w:left w:type="dxa" w:w="110"/>
              <w:bottom w:type="dxa" w:w="70"/>
              <w:right w:type="dxa" w:w="110"/>
            </w:tcMar>
            <w:vAlign w:val="center"/>
          </w:tcPr>
          <w:p>
            <w:pPr>
              <w:spacing w:after="0" w:line="264"/>
            </w:pPr>
            <w:r>
              <w:rPr>
                <w:rFonts w:ascii="Calibri" w:cs="Calibri" w:eastAsia="Calibri" w:hAnsi="Calibri"/>
                <w:b w:val="false"/>
                <w:bCs w:val="false"/>
                <w:color w:val="1A1A2E"/>
                <w:sz w:val="19"/>
                <w:szCs w:val="19"/>
              </w:rPr>
              <w:t xml:space="preserve">Newly registered customers can be unable to log in after a cold start; stock counts silently reset to the committed snapshot; reviews and subscribers vanish. Orders survive only because they are written to Blob.</w:t>
            </w:r>
          </w:p>
        </w:tc>
      </w:tr>
    </w:tbl>
    <w:p>
      <w:pPr>
        <w:pStyle w:val="Heading2"/>
        <w:spacing w:after="90" w:before="220"/>
      </w:pPr>
      <w:r>
        <w:rPr>
          <w:rFonts w:ascii="Calibri" w:cs="Calibri" w:eastAsia="Calibri" w:hAnsi="Calibri"/>
          <w:b/>
          <w:bCs/>
          <w:color w:val="2E2A5E"/>
          <w:sz w:val="24"/>
          <w:szCs w:val="24"/>
        </w:rPr>
        <w:t xml:space="preserve">2.2 Medium &amp; low‑severity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3360"/>
      </w:tblGrid>
      <w:tr>
        <w:trPr>
          <w:tblHeader/>
        </w:trPr>
        <w:tc>
          <w:tcPr>
            <w:tcW w:type="dxa" w:w="1500"/>
            <w:tcBorders>
              <w:top w:val="single" w:color="C9C7DD" w:sz="1"/>
              <w:left w:val="single" w:color="C9C7DD" w:sz="1"/>
              <w:bottom w:val="single" w:color="C9C7DD" w:sz="1"/>
              <w:right w:val="single" w:color="C9C7DD" w:sz="1"/>
            </w:tcBorders>
            <w:shd w:fill="ECEAF6" w:color="auto" w:val="clear"/>
            <w:tcMar>
              <w:top w:type="dxa" w:w="70"/>
              <w:left w:type="dxa" w:w="110"/>
              <w:bottom w:type="dxa" w:w="70"/>
              <w:right w:type="dxa" w:w="110"/>
            </w:tcMar>
            <w:vAlign w:val="center"/>
          </w:tcPr>
          <w:p>
            <w:pPr>
              <w:spacing w:after="0" w:line="264"/>
            </w:pPr>
            <w:r>
              <w:rPr>
                <w:rFonts w:ascii="Calibri" w:cs="Calibri" w:eastAsia="Calibri" w:hAnsi="Calibri"/>
                <w:b/>
                <w:bCs/>
                <w:color w:val="2E2A5E"/>
                <w:sz w:val="20"/>
                <w:szCs w:val="20"/>
              </w:rPr>
              <w:t xml:space="preserve">Severity</w:t>
            </w:r>
          </w:p>
        </w:tc>
        <w:tc>
          <w:tcPr>
            <w:tcW w:type="dxa" w:w="4500"/>
            <w:tcBorders>
              <w:top w:val="single" w:color="C9C7DD" w:sz="1"/>
              <w:left w:val="single" w:color="C9C7DD" w:sz="1"/>
              <w:bottom w:val="single" w:color="C9C7DD" w:sz="1"/>
              <w:right w:val="single" w:color="C9C7DD" w:sz="1"/>
            </w:tcBorders>
            <w:shd w:fill="ECEAF6" w:color="auto" w:val="clear"/>
            <w:tcMar>
              <w:top w:type="dxa" w:w="70"/>
              <w:left w:type="dxa" w:w="110"/>
              <w:bottom w:type="dxa" w:w="70"/>
              <w:right w:type="dxa" w:w="110"/>
            </w:tcMar>
            <w:vAlign w:val="center"/>
          </w:tcPr>
          <w:p>
            <w:pPr>
              <w:spacing w:after="0" w:line="264"/>
            </w:pPr>
            <w:r>
              <w:rPr>
                <w:rFonts w:ascii="Calibri" w:cs="Calibri" w:eastAsia="Calibri" w:hAnsi="Calibri"/>
                <w:b/>
                <w:bCs/>
                <w:color w:val="2E2A5E"/>
                <w:sz w:val="20"/>
                <w:szCs w:val="20"/>
              </w:rPr>
              <w:t xml:space="preserve">Finding</w:t>
            </w:r>
          </w:p>
        </w:tc>
        <w:tc>
          <w:tcPr>
            <w:tcW w:type="dxa" w:w="3360"/>
            <w:tcBorders>
              <w:top w:val="single" w:color="C9C7DD" w:sz="1"/>
              <w:left w:val="single" w:color="C9C7DD" w:sz="1"/>
              <w:bottom w:val="single" w:color="C9C7DD" w:sz="1"/>
              <w:right w:val="single" w:color="C9C7DD" w:sz="1"/>
            </w:tcBorders>
            <w:shd w:fill="ECEAF6" w:color="auto" w:val="clear"/>
            <w:tcMar>
              <w:top w:type="dxa" w:w="70"/>
              <w:left w:type="dxa" w:w="110"/>
              <w:bottom w:type="dxa" w:w="70"/>
              <w:right w:type="dxa" w:w="110"/>
            </w:tcMar>
            <w:vAlign w:val="center"/>
          </w:tcPr>
          <w:p>
            <w:pPr>
              <w:spacing w:after="0" w:line="264"/>
            </w:pPr>
            <w:r>
              <w:rPr>
                <w:rFonts w:ascii="Calibri" w:cs="Calibri" w:eastAsia="Calibri" w:hAnsi="Calibri"/>
                <w:b/>
                <w:bCs/>
                <w:color w:val="2E2A5E"/>
                <w:sz w:val="20"/>
                <w:szCs w:val="20"/>
              </w:rPr>
              <w:t xml:space="preserve">Why it matters</w:t>
            </w:r>
          </w:p>
        </w:tc>
      </w:tr>
      <w:tr>
        <w:tc>
          <w:tcPr>
            <w:tcW w:type="dxa" w:w="1500"/>
            <w:tcBorders>
              <w:top w:val="single" w:color="C9C7DD" w:sz="1"/>
              <w:left w:val="single" w:color="C9C7DD" w:sz="1"/>
              <w:bottom w:val="single" w:color="C9C7DD" w:sz="1"/>
              <w:right w:val="single" w:color="C9C7DD" w:sz="1"/>
            </w:tcBorders>
            <w:tcMar>
              <w:top w:type="dxa" w:w="70"/>
              <w:left w:type="dxa" w:w="110"/>
              <w:bottom w:type="dxa" w:w="70"/>
              <w:right w:type="dxa" w:w="110"/>
            </w:tcMar>
            <w:vAlign w:val="center"/>
          </w:tcPr>
          <w:p>
            <w:pPr>
              <w:spacing w:after="0"/>
            </w:pPr>
            <w:r>
              <w:rPr>
                <w:rFonts w:ascii="Calibri" w:cs="Calibri" w:eastAsia="Calibri" w:hAnsi="Calibri"/>
                <w:b/>
                <w:bCs/>
                <w:color w:val="B45309"/>
                <w:sz w:val="20"/>
                <w:szCs w:val="20"/>
              </w:rPr>
              <w:t xml:space="preserve">Medium</w:t>
            </w:r>
          </w:p>
        </w:tc>
        <w:tc>
          <w:tcPr>
            <w:tcW w:type="dxa" w:w="4500"/>
            <w:tcBorders>
              <w:top w:val="single" w:color="C9C7DD" w:sz="1"/>
              <w:left w:val="single" w:color="C9C7DD" w:sz="1"/>
              <w:bottom w:val="single" w:color="C9C7DD" w:sz="1"/>
              <w:right w:val="single" w:color="C9C7DD" w:sz="1"/>
            </w:tcBorders>
            <w:tcMar>
              <w:top w:type="dxa" w:w="70"/>
              <w:left w:type="dxa" w:w="110"/>
              <w:bottom w:type="dxa" w:w="70"/>
              <w:right w:type="dxa" w:w="110"/>
            </w:tcMar>
            <w:vAlign w:val="center"/>
          </w:tcPr>
          <w:p>
            <w:pPr>
              <w:spacing w:after="0" w:line="264"/>
            </w:pPr>
            <w:r>
              <w:rPr>
                <w:rFonts w:ascii="Calibri" w:cs="Calibri" w:eastAsia="Calibri" w:hAnsi="Calibri"/>
                <w:b/>
                <w:bCs/>
                <w:color w:val="1A1A2E"/>
                <w:sz w:val="20"/>
                <w:szCs w:val="20"/>
              </w:rPr>
              <w:t xml:space="preserve">Payments recorded as “Completed” regardless of payment</w:t>
            </w:r>
          </w:p>
          <w:p>
            <w:pPr>
              <w:spacing w:after="0" w:before="30" w:line="264"/>
            </w:pPr>
            <w:r>
              <w:rPr>
                <w:rFonts w:ascii="Calibri" w:cs="Calibri" w:eastAsia="Calibri" w:hAnsi="Calibri"/>
                <w:color w:val="6B7280"/>
                <w:sz w:val="19"/>
                <w:szCs w:val="19"/>
              </w:rPr>
              <w:t xml:space="preserve">Every checkout writes a payment record with status “Completed” and order status “Processing”, even when Stripe is not configured and no charge occurs.</w:t>
            </w:r>
          </w:p>
        </w:tc>
        <w:tc>
          <w:tcPr>
            <w:tcW w:type="dxa" w:w="3360"/>
            <w:tcBorders>
              <w:top w:val="single" w:color="C9C7DD" w:sz="1"/>
              <w:left w:val="single" w:color="C9C7DD" w:sz="1"/>
              <w:bottom w:val="single" w:color="C9C7DD" w:sz="1"/>
              <w:right w:val="single" w:color="C9C7DD" w:sz="1"/>
            </w:tcBorders>
            <w:tcMar>
              <w:top w:type="dxa" w:w="70"/>
              <w:left w:type="dxa" w:w="110"/>
              <w:bottom w:type="dxa" w:w="70"/>
              <w:right w:type="dxa" w:w="110"/>
            </w:tcMar>
            <w:vAlign w:val="center"/>
          </w:tcPr>
          <w:p>
            <w:pPr>
              <w:spacing w:after="0" w:line="264"/>
            </w:pPr>
            <w:r>
              <w:rPr>
                <w:rFonts w:ascii="Calibri" w:cs="Calibri" w:eastAsia="Calibri" w:hAnsi="Calibri"/>
                <w:b w:val="false"/>
                <w:bCs w:val="false"/>
                <w:color w:val="1A1A2E"/>
                <w:sz w:val="19"/>
                <w:szCs w:val="19"/>
              </w:rPr>
              <w:t xml:space="preserve">Unpaid orders look paid in the admin view, while the checkout UI tells the shopper payment is “pending”. The two states disagree, undermining financial reporting.</w:t>
            </w:r>
          </w:p>
        </w:tc>
      </w:tr>
      <w:tr>
        <w:tc>
          <w:tcPr>
            <w:tcW w:type="dxa" w:w="1500"/>
            <w:tcBorders>
              <w:top w:val="single" w:color="C9C7DD" w:sz="1"/>
              <w:left w:val="single" w:color="C9C7DD" w:sz="1"/>
              <w:bottom w:val="single" w:color="C9C7DD" w:sz="1"/>
              <w:right w:val="single" w:color="C9C7DD" w:sz="1"/>
            </w:tcBorders>
            <w:shd w:fill="F7F6FB" w:color="auto" w:val="clear"/>
            <w:tcMar>
              <w:top w:type="dxa" w:w="70"/>
              <w:left w:type="dxa" w:w="110"/>
              <w:bottom w:type="dxa" w:w="70"/>
              <w:right w:type="dxa" w:w="110"/>
            </w:tcMar>
            <w:vAlign w:val="center"/>
          </w:tcPr>
          <w:p>
            <w:pPr>
              <w:spacing w:after="0"/>
            </w:pPr>
            <w:r>
              <w:rPr>
                <w:rFonts w:ascii="Calibri" w:cs="Calibri" w:eastAsia="Calibri" w:hAnsi="Calibri"/>
                <w:b/>
                <w:bCs/>
                <w:color w:val="B45309"/>
                <w:sz w:val="20"/>
                <w:szCs w:val="20"/>
              </w:rPr>
              <w:t xml:space="preserve">Medium</w:t>
            </w:r>
          </w:p>
        </w:tc>
        <w:tc>
          <w:tcPr>
            <w:tcW w:type="dxa" w:w="4500"/>
            <w:tcBorders>
              <w:top w:val="single" w:color="C9C7DD" w:sz="1"/>
              <w:left w:val="single" w:color="C9C7DD" w:sz="1"/>
              <w:bottom w:val="single" w:color="C9C7DD" w:sz="1"/>
              <w:right w:val="single" w:color="C9C7DD" w:sz="1"/>
            </w:tcBorders>
            <w:shd w:fill="F7F6FB" w:color="auto" w:val="clear"/>
            <w:tcMar>
              <w:top w:type="dxa" w:w="70"/>
              <w:left w:type="dxa" w:w="110"/>
              <w:bottom w:type="dxa" w:w="70"/>
              <w:right w:type="dxa" w:w="110"/>
            </w:tcMar>
            <w:vAlign w:val="center"/>
          </w:tcPr>
          <w:p>
            <w:pPr>
              <w:spacing w:after="0" w:line="264"/>
            </w:pPr>
            <w:r>
              <w:rPr>
                <w:rFonts w:ascii="Calibri" w:cs="Calibri" w:eastAsia="Calibri" w:hAnsi="Calibri"/>
                <w:b/>
                <w:bCs/>
                <w:color w:val="1A1A2E"/>
                <w:sz w:val="20"/>
                <w:szCs w:val="20"/>
              </w:rPr>
              <w:t xml:space="preserve">Non‑atomic inventory update (oversell race)</w:t>
            </w:r>
          </w:p>
          <w:p>
            <w:pPr>
              <w:spacing w:after="0" w:before="30" w:line="264"/>
            </w:pPr>
            <w:r>
              <w:rPr>
                <w:rFonts w:ascii="Calibri" w:cs="Calibri" w:eastAsia="Calibri" w:hAnsi="Calibri"/>
                <w:color w:val="6B7280"/>
                <w:sz w:val="19"/>
                <w:szCs w:val="19"/>
              </w:rPr>
              <w:t xml:space="preserve">Stock is validated and then decremented in separate statements with no transaction.</w:t>
            </w:r>
          </w:p>
        </w:tc>
        <w:tc>
          <w:tcPr>
            <w:tcW w:type="dxa" w:w="3360"/>
            <w:tcBorders>
              <w:top w:val="single" w:color="C9C7DD" w:sz="1"/>
              <w:left w:val="single" w:color="C9C7DD" w:sz="1"/>
              <w:bottom w:val="single" w:color="C9C7DD" w:sz="1"/>
              <w:right w:val="single" w:color="C9C7DD" w:sz="1"/>
            </w:tcBorders>
            <w:shd w:fill="F7F6FB" w:color="auto" w:val="clear"/>
            <w:tcMar>
              <w:top w:type="dxa" w:w="70"/>
              <w:left w:type="dxa" w:w="110"/>
              <w:bottom w:type="dxa" w:w="70"/>
              <w:right w:type="dxa" w:w="110"/>
            </w:tcMar>
            <w:vAlign w:val="center"/>
          </w:tcPr>
          <w:p>
            <w:pPr>
              <w:spacing w:after="0" w:line="264"/>
            </w:pPr>
            <w:r>
              <w:rPr>
                <w:rFonts w:ascii="Calibri" w:cs="Calibri" w:eastAsia="Calibri" w:hAnsi="Calibri"/>
                <w:b w:val="false"/>
                <w:bCs w:val="false"/>
                <w:color w:val="1A1A2E"/>
                <w:sz w:val="19"/>
                <w:szCs w:val="19"/>
              </w:rPr>
              <w:t xml:space="preserve">Concurrent checkouts can both pass the check and oversell limited stock.</w:t>
            </w:r>
          </w:p>
        </w:tc>
      </w:tr>
      <w:tr>
        <w:tc>
          <w:tcPr>
            <w:tcW w:type="dxa" w:w="1500"/>
            <w:tcBorders>
              <w:top w:val="single" w:color="C9C7DD" w:sz="1"/>
              <w:left w:val="single" w:color="C9C7DD" w:sz="1"/>
              <w:bottom w:val="single" w:color="C9C7DD" w:sz="1"/>
              <w:right w:val="single" w:color="C9C7DD" w:sz="1"/>
            </w:tcBorders>
            <w:tcMar>
              <w:top w:type="dxa" w:w="70"/>
              <w:left w:type="dxa" w:w="110"/>
              <w:bottom w:type="dxa" w:w="70"/>
              <w:right w:type="dxa" w:w="110"/>
            </w:tcMar>
            <w:vAlign w:val="center"/>
          </w:tcPr>
          <w:p>
            <w:pPr>
              <w:spacing w:after="0"/>
            </w:pPr>
            <w:r>
              <w:rPr>
                <w:rFonts w:ascii="Calibri" w:cs="Calibri" w:eastAsia="Calibri" w:hAnsi="Calibri"/>
                <w:b/>
                <w:bCs/>
                <w:color w:val="B45309"/>
                <w:sz w:val="20"/>
                <w:szCs w:val="20"/>
              </w:rPr>
              <w:t xml:space="preserve">Medium</w:t>
            </w:r>
          </w:p>
        </w:tc>
        <w:tc>
          <w:tcPr>
            <w:tcW w:type="dxa" w:w="4500"/>
            <w:tcBorders>
              <w:top w:val="single" w:color="C9C7DD" w:sz="1"/>
              <w:left w:val="single" w:color="C9C7DD" w:sz="1"/>
              <w:bottom w:val="single" w:color="C9C7DD" w:sz="1"/>
              <w:right w:val="single" w:color="C9C7DD" w:sz="1"/>
            </w:tcBorders>
            <w:tcMar>
              <w:top w:type="dxa" w:w="70"/>
              <w:left w:type="dxa" w:w="110"/>
              <w:bottom w:type="dxa" w:w="70"/>
              <w:right w:type="dxa" w:w="110"/>
            </w:tcMar>
            <w:vAlign w:val="center"/>
          </w:tcPr>
          <w:p>
            <w:pPr>
              <w:spacing w:after="0" w:line="264"/>
            </w:pPr>
            <w:r>
              <w:rPr>
                <w:rFonts w:ascii="Calibri" w:cs="Calibri" w:eastAsia="Calibri" w:hAnsi="Calibri"/>
                <w:b/>
                <w:bCs/>
                <w:color w:val="1A1A2E"/>
                <w:sz w:val="20"/>
                <w:szCs w:val="20"/>
              </w:rPr>
              <w:t xml:space="preserve">CSP allows ‘unsafe‑inline’ scripts; JWTs kept in localStorage</w:t>
            </w:r>
          </w:p>
          <w:p>
            <w:pPr>
              <w:spacing w:after="0" w:before="30" w:line="264"/>
            </w:pPr>
            <w:r>
              <w:rPr>
                <w:rFonts w:ascii="Calibri" w:cs="Calibri" w:eastAsia="Calibri" w:hAnsi="Calibri"/>
                <w:color w:val="6B7280"/>
                <w:sz w:val="19"/>
                <w:szCs w:val="19"/>
              </w:rPr>
              <w:t xml:space="preserve">The script‑src directive permits inline scripts, and both admin and customer tokens are stored in localStorage.</w:t>
            </w:r>
          </w:p>
        </w:tc>
        <w:tc>
          <w:tcPr>
            <w:tcW w:type="dxa" w:w="3360"/>
            <w:tcBorders>
              <w:top w:val="single" w:color="C9C7DD" w:sz="1"/>
              <w:left w:val="single" w:color="C9C7DD" w:sz="1"/>
              <w:bottom w:val="single" w:color="C9C7DD" w:sz="1"/>
              <w:right w:val="single" w:color="C9C7DD" w:sz="1"/>
            </w:tcBorders>
            <w:tcMar>
              <w:top w:type="dxa" w:w="70"/>
              <w:left w:type="dxa" w:w="110"/>
              <w:bottom w:type="dxa" w:w="70"/>
              <w:right w:type="dxa" w:w="110"/>
            </w:tcMar>
            <w:vAlign w:val="center"/>
          </w:tcPr>
          <w:p>
            <w:pPr>
              <w:spacing w:after="0" w:line="264"/>
            </w:pPr>
            <w:r>
              <w:rPr>
                <w:rFonts w:ascii="Calibri" w:cs="Calibri" w:eastAsia="Calibri" w:hAnsi="Calibri"/>
                <w:b w:val="false"/>
                <w:bCs w:val="false"/>
                <w:color w:val="1A1A2E"/>
                <w:sz w:val="19"/>
                <w:szCs w:val="19"/>
              </w:rPr>
              <w:t xml:space="preserve">Weakened XSS defenses combined with script‑readable tokens make session theft via any injected script feasible.</w:t>
            </w:r>
          </w:p>
        </w:tc>
      </w:tr>
      <w:tr>
        <w:tc>
          <w:tcPr>
            <w:tcW w:type="dxa" w:w="1500"/>
            <w:tcBorders>
              <w:top w:val="single" w:color="C9C7DD" w:sz="1"/>
              <w:left w:val="single" w:color="C9C7DD" w:sz="1"/>
              <w:bottom w:val="single" w:color="C9C7DD" w:sz="1"/>
              <w:right w:val="single" w:color="C9C7DD" w:sz="1"/>
            </w:tcBorders>
            <w:shd w:fill="F7F6FB" w:color="auto" w:val="clear"/>
            <w:tcMar>
              <w:top w:type="dxa" w:w="70"/>
              <w:left w:type="dxa" w:w="110"/>
              <w:bottom w:type="dxa" w:w="70"/>
              <w:right w:type="dxa" w:w="110"/>
            </w:tcMar>
            <w:vAlign w:val="center"/>
          </w:tcPr>
          <w:p>
            <w:pPr>
              <w:spacing w:after="0"/>
            </w:pPr>
            <w:r>
              <w:rPr>
                <w:rFonts w:ascii="Calibri" w:cs="Calibri" w:eastAsia="Calibri" w:hAnsi="Calibri"/>
                <w:b/>
                <w:bCs/>
                <w:color w:val="B45309"/>
                <w:sz w:val="20"/>
                <w:szCs w:val="20"/>
              </w:rPr>
              <w:t xml:space="preserve">Medium</w:t>
            </w:r>
          </w:p>
        </w:tc>
        <w:tc>
          <w:tcPr>
            <w:tcW w:type="dxa" w:w="4500"/>
            <w:tcBorders>
              <w:top w:val="single" w:color="C9C7DD" w:sz="1"/>
              <w:left w:val="single" w:color="C9C7DD" w:sz="1"/>
              <w:bottom w:val="single" w:color="C9C7DD" w:sz="1"/>
              <w:right w:val="single" w:color="C9C7DD" w:sz="1"/>
            </w:tcBorders>
            <w:shd w:fill="F7F6FB" w:color="auto" w:val="clear"/>
            <w:tcMar>
              <w:top w:type="dxa" w:w="70"/>
              <w:left w:type="dxa" w:w="110"/>
              <w:bottom w:type="dxa" w:w="70"/>
              <w:right w:type="dxa" w:w="110"/>
            </w:tcMar>
            <w:vAlign w:val="center"/>
          </w:tcPr>
          <w:p>
            <w:pPr>
              <w:spacing w:after="0" w:line="264"/>
            </w:pPr>
            <w:r>
              <w:rPr>
                <w:rFonts w:ascii="Calibri" w:cs="Calibri" w:eastAsia="Calibri" w:hAnsi="Calibri"/>
                <w:b/>
                <w:bCs/>
                <w:color w:val="1A1A2E"/>
                <w:sz w:val="20"/>
                <w:szCs w:val="20"/>
              </w:rPr>
              <w:t xml:space="preserve">Permissive CORS outside production</w:t>
            </w:r>
          </w:p>
          <w:p>
            <w:pPr>
              <w:spacing w:after="0" w:before="30" w:line="264"/>
            </w:pPr>
            <w:r>
              <w:rPr>
                <w:rFonts w:ascii="Calibri" w:cs="Calibri" w:eastAsia="Calibri" w:hAnsi="Calibri"/>
                <w:color w:val="6B7280"/>
                <w:sz w:val="19"/>
                <w:szCs w:val="19"/>
              </w:rPr>
              <w:t xml:space="preserve">The CORS origin callback allows any origin (with credentials) whenever NODE_ENV is not exactly “production”.</w:t>
            </w:r>
          </w:p>
        </w:tc>
        <w:tc>
          <w:tcPr>
            <w:tcW w:type="dxa" w:w="3360"/>
            <w:tcBorders>
              <w:top w:val="single" w:color="C9C7DD" w:sz="1"/>
              <w:left w:val="single" w:color="C9C7DD" w:sz="1"/>
              <w:bottom w:val="single" w:color="C9C7DD" w:sz="1"/>
              <w:right w:val="single" w:color="C9C7DD" w:sz="1"/>
            </w:tcBorders>
            <w:shd w:fill="F7F6FB" w:color="auto" w:val="clear"/>
            <w:tcMar>
              <w:top w:type="dxa" w:w="70"/>
              <w:left w:type="dxa" w:w="110"/>
              <w:bottom w:type="dxa" w:w="70"/>
              <w:right w:type="dxa" w:w="110"/>
            </w:tcMar>
            <w:vAlign w:val="center"/>
          </w:tcPr>
          <w:p>
            <w:pPr>
              <w:spacing w:after="0" w:line="264"/>
            </w:pPr>
            <w:r>
              <w:rPr>
                <w:rFonts w:ascii="Calibri" w:cs="Calibri" w:eastAsia="Calibri" w:hAnsi="Calibri"/>
                <w:b w:val="false"/>
                <w:bCs w:val="false"/>
                <w:color w:val="1A1A2E"/>
                <w:sz w:val="19"/>
                <w:szCs w:val="19"/>
              </w:rPr>
              <w:t xml:space="preserve">If NODE_ENV is unset or mislabeled in a live environment, cross‑origin requests with credentials are accepted from anywhere.</w:t>
            </w:r>
          </w:p>
        </w:tc>
      </w:tr>
      <w:tr>
        <w:tc>
          <w:tcPr>
            <w:tcW w:type="dxa" w:w="1500"/>
            <w:tcBorders>
              <w:top w:val="single" w:color="C9C7DD" w:sz="1"/>
              <w:left w:val="single" w:color="C9C7DD" w:sz="1"/>
              <w:bottom w:val="single" w:color="C9C7DD" w:sz="1"/>
              <w:right w:val="single" w:color="C9C7DD" w:sz="1"/>
            </w:tcBorders>
            <w:tcMar>
              <w:top w:type="dxa" w:w="70"/>
              <w:left w:type="dxa" w:w="110"/>
              <w:bottom w:type="dxa" w:w="70"/>
              <w:right w:type="dxa" w:w="110"/>
            </w:tcMar>
            <w:vAlign w:val="center"/>
          </w:tcPr>
          <w:p>
            <w:pPr>
              <w:spacing w:after="0"/>
            </w:pPr>
            <w:r>
              <w:rPr>
                <w:rFonts w:ascii="Calibri" w:cs="Calibri" w:eastAsia="Calibri" w:hAnsi="Calibri"/>
                <w:b/>
                <w:bCs/>
                <w:color w:val="4B5563"/>
                <w:sz w:val="20"/>
                <w:szCs w:val="20"/>
              </w:rPr>
              <w:t xml:space="preserve">Low</w:t>
            </w:r>
          </w:p>
        </w:tc>
        <w:tc>
          <w:tcPr>
            <w:tcW w:type="dxa" w:w="4500"/>
            <w:tcBorders>
              <w:top w:val="single" w:color="C9C7DD" w:sz="1"/>
              <w:left w:val="single" w:color="C9C7DD" w:sz="1"/>
              <w:bottom w:val="single" w:color="C9C7DD" w:sz="1"/>
              <w:right w:val="single" w:color="C9C7DD" w:sz="1"/>
            </w:tcBorders>
            <w:tcMar>
              <w:top w:type="dxa" w:w="70"/>
              <w:left w:type="dxa" w:w="110"/>
              <w:bottom w:type="dxa" w:w="70"/>
              <w:right w:type="dxa" w:w="110"/>
            </w:tcMar>
            <w:vAlign w:val="center"/>
          </w:tcPr>
          <w:p>
            <w:pPr>
              <w:spacing w:after="0" w:line="264"/>
            </w:pPr>
            <w:r>
              <w:rPr>
                <w:rFonts w:ascii="Calibri" w:cs="Calibri" w:eastAsia="Calibri" w:hAnsi="Calibri"/>
                <w:b/>
                <w:bCs/>
                <w:color w:val="1A1A2E"/>
                <w:sz w:val="20"/>
                <w:szCs w:val="20"/>
              </w:rPr>
              <w:t xml:space="preserve">Predictable OTP generation &amp; storage</w:t>
            </w:r>
          </w:p>
          <w:p>
            <w:pPr>
              <w:spacing w:after="0" w:before="30" w:line="264"/>
            </w:pPr>
            <w:r>
              <w:rPr>
                <w:rFonts w:ascii="Calibri" w:cs="Calibri" w:eastAsia="Calibri" w:hAnsi="Calibri"/>
                <w:color w:val="6B7280"/>
                <w:sz w:val="19"/>
                <w:szCs w:val="19"/>
              </w:rPr>
              <w:t xml:space="preserve">One‑time codes use Math.random() (not a cryptographic source) and are stored in plaintext.</w:t>
            </w:r>
          </w:p>
        </w:tc>
        <w:tc>
          <w:tcPr>
            <w:tcW w:type="dxa" w:w="3360"/>
            <w:tcBorders>
              <w:top w:val="single" w:color="C9C7DD" w:sz="1"/>
              <w:left w:val="single" w:color="C9C7DD" w:sz="1"/>
              <w:bottom w:val="single" w:color="C9C7DD" w:sz="1"/>
              <w:right w:val="single" w:color="C9C7DD" w:sz="1"/>
            </w:tcBorders>
            <w:tcMar>
              <w:top w:type="dxa" w:w="70"/>
              <w:left w:type="dxa" w:w="110"/>
              <w:bottom w:type="dxa" w:w="70"/>
              <w:right w:type="dxa" w:w="110"/>
            </w:tcMar>
            <w:vAlign w:val="center"/>
          </w:tcPr>
          <w:p>
            <w:pPr>
              <w:spacing w:after="0" w:line="264"/>
            </w:pPr>
            <w:r>
              <w:rPr>
                <w:rFonts w:ascii="Calibri" w:cs="Calibri" w:eastAsia="Calibri" w:hAnsi="Calibri"/>
                <w:b w:val="false"/>
                <w:bCs w:val="false"/>
                <w:color w:val="1A1A2E"/>
                <w:sz w:val="19"/>
                <w:szCs w:val="19"/>
              </w:rPr>
              <w:t xml:space="preserve">Marginally weakens the phone‑login channel; codes are not unguessable and a DB read exposes them.</w:t>
            </w:r>
          </w:p>
        </w:tc>
      </w:tr>
      <w:tr>
        <w:tc>
          <w:tcPr>
            <w:tcW w:type="dxa" w:w="1500"/>
            <w:tcBorders>
              <w:top w:val="single" w:color="C9C7DD" w:sz="1"/>
              <w:left w:val="single" w:color="C9C7DD" w:sz="1"/>
              <w:bottom w:val="single" w:color="C9C7DD" w:sz="1"/>
              <w:right w:val="single" w:color="C9C7DD" w:sz="1"/>
            </w:tcBorders>
            <w:shd w:fill="F7F6FB" w:color="auto" w:val="clear"/>
            <w:tcMar>
              <w:top w:type="dxa" w:w="70"/>
              <w:left w:type="dxa" w:w="110"/>
              <w:bottom w:type="dxa" w:w="70"/>
              <w:right w:type="dxa" w:w="110"/>
            </w:tcMar>
            <w:vAlign w:val="center"/>
          </w:tcPr>
          <w:p>
            <w:pPr>
              <w:spacing w:after="0"/>
            </w:pPr>
            <w:r>
              <w:rPr>
                <w:rFonts w:ascii="Calibri" w:cs="Calibri" w:eastAsia="Calibri" w:hAnsi="Calibri"/>
                <w:b/>
                <w:bCs/>
                <w:color w:val="4B5563"/>
                <w:sz w:val="20"/>
                <w:szCs w:val="20"/>
              </w:rPr>
              <w:t xml:space="preserve">Low</w:t>
            </w:r>
          </w:p>
        </w:tc>
        <w:tc>
          <w:tcPr>
            <w:tcW w:type="dxa" w:w="4500"/>
            <w:tcBorders>
              <w:top w:val="single" w:color="C9C7DD" w:sz="1"/>
              <w:left w:val="single" w:color="C9C7DD" w:sz="1"/>
              <w:bottom w:val="single" w:color="C9C7DD" w:sz="1"/>
              <w:right w:val="single" w:color="C9C7DD" w:sz="1"/>
            </w:tcBorders>
            <w:shd w:fill="F7F6FB" w:color="auto" w:val="clear"/>
            <w:tcMar>
              <w:top w:type="dxa" w:w="70"/>
              <w:left w:type="dxa" w:w="110"/>
              <w:bottom w:type="dxa" w:w="70"/>
              <w:right w:type="dxa" w:w="110"/>
            </w:tcMar>
            <w:vAlign w:val="center"/>
          </w:tcPr>
          <w:p>
            <w:pPr>
              <w:spacing w:after="0" w:line="264"/>
            </w:pPr>
            <w:r>
              <w:rPr>
                <w:rFonts w:ascii="Calibri" w:cs="Calibri" w:eastAsia="Calibri" w:hAnsi="Calibri"/>
                <w:b/>
                <w:bCs/>
                <w:color w:val="1A1A2E"/>
                <w:sz w:val="20"/>
                <w:szCs w:val="20"/>
              </w:rPr>
              <w:t xml:space="preserve">Open review endpoint labels anonymous authors “Verified Customer”</w:t>
            </w:r>
          </w:p>
          <w:p>
            <w:pPr>
              <w:spacing w:after="0" w:before="30" w:line="264"/>
            </w:pPr>
            <w:r>
              <w:rPr>
                <w:rFonts w:ascii="Calibri" w:cs="Calibri" w:eastAsia="Calibri" w:hAnsi="Calibri"/>
                <w:color w:val="6B7280"/>
                <w:sz w:val="19"/>
                <w:szCs w:val="19"/>
              </w:rPr>
              <w:t xml:space="preserve">Anyone can POST a product review without authentication; missing identities default to “Verified Customer”.</w:t>
            </w:r>
          </w:p>
        </w:tc>
        <w:tc>
          <w:tcPr>
            <w:tcW w:type="dxa" w:w="3360"/>
            <w:tcBorders>
              <w:top w:val="single" w:color="C9C7DD" w:sz="1"/>
              <w:left w:val="single" w:color="C9C7DD" w:sz="1"/>
              <w:bottom w:val="single" w:color="C9C7DD" w:sz="1"/>
              <w:right w:val="single" w:color="C9C7DD" w:sz="1"/>
            </w:tcBorders>
            <w:shd w:fill="F7F6FB" w:color="auto" w:val="clear"/>
            <w:tcMar>
              <w:top w:type="dxa" w:w="70"/>
              <w:left w:type="dxa" w:w="110"/>
              <w:bottom w:type="dxa" w:w="70"/>
              <w:right w:type="dxa" w:w="110"/>
            </w:tcMar>
            <w:vAlign w:val="center"/>
          </w:tcPr>
          <w:p>
            <w:pPr>
              <w:spacing w:after="0" w:line="264"/>
            </w:pPr>
            <w:r>
              <w:rPr>
                <w:rFonts w:ascii="Calibri" w:cs="Calibri" w:eastAsia="Calibri" w:hAnsi="Calibri"/>
                <w:b w:val="false"/>
                <w:bCs w:val="false"/>
                <w:color w:val="1A1A2E"/>
                <w:sz w:val="19"/>
                <w:szCs w:val="19"/>
              </w:rPr>
              <w:t xml:space="preserve">Enables review spam and misrepresents unverified reviews as verified, eroding trust signals.</w:t>
            </w:r>
          </w:p>
        </w:tc>
      </w:tr>
      <w:tr>
        <w:tc>
          <w:tcPr>
            <w:tcW w:type="dxa" w:w="1500"/>
            <w:tcBorders>
              <w:top w:val="single" w:color="C9C7DD" w:sz="1"/>
              <w:left w:val="single" w:color="C9C7DD" w:sz="1"/>
              <w:bottom w:val="single" w:color="C9C7DD" w:sz="1"/>
              <w:right w:val="single" w:color="C9C7DD" w:sz="1"/>
            </w:tcBorders>
            <w:tcMar>
              <w:top w:type="dxa" w:w="70"/>
              <w:left w:type="dxa" w:w="110"/>
              <w:bottom w:type="dxa" w:w="70"/>
              <w:right w:type="dxa" w:w="110"/>
            </w:tcMar>
            <w:vAlign w:val="center"/>
          </w:tcPr>
          <w:p>
            <w:pPr>
              <w:spacing w:after="0"/>
            </w:pPr>
            <w:r>
              <w:rPr>
                <w:rFonts w:ascii="Calibri" w:cs="Calibri" w:eastAsia="Calibri" w:hAnsi="Calibri"/>
                <w:b/>
                <w:bCs/>
                <w:color w:val="4B5563"/>
                <w:sz w:val="20"/>
                <w:szCs w:val="20"/>
              </w:rPr>
              <w:t xml:space="preserve">Low</w:t>
            </w:r>
          </w:p>
        </w:tc>
        <w:tc>
          <w:tcPr>
            <w:tcW w:type="dxa" w:w="4500"/>
            <w:tcBorders>
              <w:top w:val="single" w:color="C9C7DD" w:sz="1"/>
              <w:left w:val="single" w:color="C9C7DD" w:sz="1"/>
              <w:bottom w:val="single" w:color="C9C7DD" w:sz="1"/>
              <w:right w:val="single" w:color="C9C7DD" w:sz="1"/>
            </w:tcBorders>
            <w:tcMar>
              <w:top w:type="dxa" w:w="70"/>
              <w:left w:type="dxa" w:w="110"/>
              <w:bottom w:type="dxa" w:w="70"/>
              <w:right w:type="dxa" w:w="110"/>
            </w:tcMar>
            <w:vAlign w:val="center"/>
          </w:tcPr>
          <w:p>
            <w:pPr>
              <w:spacing w:after="0" w:line="264"/>
            </w:pPr>
            <w:r>
              <w:rPr>
                <w:rFonts w:ascii="Calibri" w:cs="Calibri" w:eastAsia="Calibri" w:hAnsi="Calibri"/>
                <w:b/>
                <w:bCs/>
                <w:color w:val="1A1A2E"/>
                <w:sz w:val="20"/>
                <w:szCs w:val="20"/>
              </w:rPr>
              <w:t xml:space="preserve">No token revocation on logout</w:t>
            </w:r>
          </w:p>
          <w:p>
            <w:pPr>
              <w:spacing w:after="0" w:before="30" w:line="264"/>
            </w:pPr>
            <w:r>
              <w:rPr>
                <w:rFonts w:ascii="Calibri" w:cs="Calibri" w:eastAsia="Calibri" w:hAnsi="Calibri"/>
                <w:color w:val="6B7280"/>
                <w:sz w:val="19"/>
                <w:szCs w:val="19"/>
              </w:rPr>
              <w:t xml:space="preserve">Logout clears a cookie, but the active token lives in localStorage and stays valid until expiry (7d customer / 24h admin).</w:t>
            </w:r>
          </w:p>
        </w:tc>
        <w:tc>
          <w:tcPr>
            <w:tcW w:type="dxa" w:w="3360"/>
            <w:tcBorders>
              <w:top w:val="single" w:color="C9C7DD" w:sz="1"/>
              <w:left w:val="single" w:color="C9C7DD" w:sz="1"/>
              <w:bottom w:val="single" w:color="C9C7DD" w:sz="1"/>
              <w:right w:val="single" w:color="C9C7DD" w:sz="1"/>
            </w:tcBorders>
            <w:tcMar>
              <w:top w:type="dxa" w:w="70"/>
              <w:left w:type="dxa" w:w="110"/>
              <w:bottom w:type="dxa" w:w="70"/>
              <w:right w:type="dxa" w:w="110"/>
            </w:tcMar>
            <w:vAlign w:val="center"/>
          </w:tcPr>
          <w:p>
            <w:pPr>
              <w:spacing w:after="0" w:line="264"/>
            </w:pPr>
            <w:r>
              <w:rPr>
                <w:rFonts w:ascii="Calibri" w:cs="Calibri" w:eastAsia="Calibri" w:hAnsi="Calibri"/>
                <w:b w:val="false"/>
                <w:bCs w:val="false"/>
                <w:color w:val="1A1A2E"/>
                <w:sz w:val="19"/>
                <w:szCs w:val="19"/>
              </w:rPr>
              <w:t xml:space="preserve">A leaked token cannot be invalidated server‑side before it expires.</w:t>
            </w:r>
          </w:p>
        </w:tc>
      </w:tr>
    </w:tbl>
    <w:p>
      <w:pPr>
        <w:spacing w:after="120" w:before="0" w:line="276"/>
      </w:pPr>
      <w:r>
        <w:rPr>
          <w:rFonts w:ascii="Calibri" w:cs="Calibri" w:eastAsia="Calibri" w:hAnsi="Calibri"/>
          <w:b/>
          <w:bCs/>
          <w:color w:val="2E2A5E"/>
          <w:sz w:val="22"/>
          <w:szCs w:val="22"/>
        </w:rPr>
        <w:t xml:space="preserve">Net: </w:t>
      </w:r>
      <w:r>
        <w:rPr>
          <w:rFonts w:ascii="Calibri" w:cs="Calibri" w:eastAsia="Calibri" w:hAnsi="Calibri"/>
          <w:color w:val="1A1A2E"/>
          <w:sz w:val="22"/>
          <w:szCs w:val="22"/>
        </w:rPr>
        <w:t xml:space="preserve">strong perimeter and good coding hygiene, but a single client‑trusted field defeats customer authentication, and sensitive data sits in the repository. Until those are addressed, the security posture cannot be rated above a 4.</w:t>
      </w:r>
    </w:p>
    <w:p>
      <w:pPr>
        <w:pStyle w:val="Heading1"/>
        <w:pBdr>
          <w:bottom w:val="single" w:color="6D5BD0" w:sz="10" w:space="4"/>
        </w:pBdr>
        <w:spacing w:after="140" w:before="320"/>
      </w:pPr>
      <w:r>
        <w:rPr>
          <w:rFonts w:ascii="Calibri" w:cs="Calibri" w:eastAsia="Calibri" w:hAnsi="Calibri"/>
          <w:b/>
          <w:bCs/>
          <w:color w:val="2E2A5E"/>
          <w:sz w:val="30"/>
          <w:szCs w:val="30"/>
        </w:rPr>
        <w:t xml:space="preserve">3. UI/UX Design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7DD" w:sz="1"/>
              <w:left w:val="single" w:color="15803D" w:sz="18"/>
              <w:bottom w:val="single" w:color="C9C7DD" w:sz="1"/>
              <w:right w:val="single" w:color="C9C7DD" w:sz="1"/>
            </w:tcBorders>
            <w:shd w:fill="ECEAF6" w:color="auto" w:val="clear"/>
            <w:tcMar>
              <w:top w:type="dxa" w:w="90"/>
              <w:left w:type="dxa" w:w="160"/>
              <w:bottom w:type="dxa" w:w="90"/>
              <w:right w:type="dxa" w:w="120"/>
            </w:tcMar>
            <w:vAlign w:val="center"/>
          </w:tcPr>
          <w:p>
            <w:pPr>
              <w:spacing w:after="0"/>
            </w:pPr>
            <w:r>
              <w:rPr>
                <w:rFonts w:ascii="Calibri" w:cs="Calibri" w:eastAsia="Calibri" w:hAnsi="Calibri"/>
                <w:b/>
                <w:bCs/>
                <w:color w:val="2E2A5E"/>
                <w:sz w:val="24"/>
                <w:szCs w:val="24"/>
              </w:rPr>
              <w:t xml:space="preserve">UI/UX Design Score:  </w:t>
            </w:r>
            <w:r>
              <w:rPr>
                <w:rFonts w:ascii="Calibri" w:cs="Calibri" w:eastAsia="Calibri" w:hAnsi="Calibri"/>
                <w:b/>
                <w:bCs/>
                <w:color w:val="15803D"/>
                <w:sz w:val="24"/>
                <w:szCs w:val="24"/>
              </w:rPr>
              <w:t xml:space="preserve">7 / 10</w:t>
            </w:r>
          </w:p>
        </w:tc>
      </w:tr>
    </w:tbl>
    <w:p>
      <w:pPr>
        <w:spacing w:after="120" w:before="0" w:line="276"/>
      </w:pPr>
      <w:r>
        <w:rPr>
          <w:rFonts w:ascii="Calibri" w:cs="Calibri" w:eastAsia="Calibri" w:hAnsi="Calibri"/>
          <w:b w:val="false"/>
          <w:bCs w:val="false"/>
          <w:i w:val="false"/>
          <w:iCs w:val="false"/>
          <w:color w:val="1A1A2E"/>
          <w:sz w:val="22"/>
          <w:szCs w:val="22"/>
        </w:rPr>
        <w:t xml:space="preserve">Visually and interactively this is the strongest part of the project. The luxury aesthetic is coherent — restrained typography, generous spacing, tasteful motion — and it holds up responsively across mobile and desktop, with a dedicated mobile drawer and horizontally‑scrolling category strip. Several accessibility and resilience touches stand out: a “skip to main content” link, a search box implemented as a proper ARIA combobox with full keyboard navigation, loading skeletons, considered empty states, focus‑visible rings on inputs, and a robust React error boundary that prevents the dreaded blank‑page crash. The deductions below are mostly about semantics and a few interaction gaps rather than aesthetics.</w:t>
      </w:r>
    </w:p>
    <w:p>
      <w:pPr>
        <w:pStyle w:val="Heading2"/>
        <w:spacing w:after="90" w:before="220"/>
      </w:pPr>
      <w:r>
        <w:rPr>
          <w:rFonts w:ascii="Calibri" w:cs="Calibri" w:eastAsia="Calibri" w:hAnsi="Calibri"/>
          <w:b/>
          <w:bCs/>
          <w:color w:val="2E2A5E"/>
          <w:sz w:val="24"/>
          <w:szCs w:val="24"/>
        </w:rPr>
        <w:t xml:space="preserve">3.1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3360"/>
      </w:tblGrid>
      <w:tr>
        <w:trPr>
          <w:tblHeader/>
        </w:trPr>
        <w:tc>
          <w:tcPr>
            <w:tcW w:type="dxa" w:w="1500"/>
            <w:tcBorders>
              <w:top w:val="single" w:color="C9C7DD" w:sz="1"/>
              <w:left w:val="single" w:color="C9C7DD" w:sz="1"/>
              <w:bottom w:val="single" w:color="C9C7DD" w:sz="1"/>
              <w:right w:val="single" w:color="C9C7DD" w:sz="1"/>
            </w:tcBorders>
            <w:shd w:fill="ECEAF6" w:color="auto" w:val="clear"/>
            <w:tcMar>
              <w:top w:type="dxa" w:w="70"/>
              <w:left w:type="dxa" w:w="110"/>
              <w:bottom w:type="dxa" w:w="70"/>
              <w:right w:type="dxa" w:w="110"/>
            </w:tcMar>
            <w:vAlign w:val="center"/>
          </w:tcPr>
          <w:p>
            <w:pPr>
              <w:spacing w:after="0" w:line="264"/>
            </w:pPr>
            <w:r>
              <w:rPr>
                <w:rFonts w:ascii="Calibri" w:cs="Calibri" w:eastAsia="Calibri" w:hAnsi="Calibri"/>
                <w:b/>
                <w:bCs/>
                <w:color w:val="2E2A5E"/>
                <w:sz w:val="20"/>
                <w:szCs w:val="20"/>
              </w:rPr>
              <w:t xml:space="preserve">Severity</w:t>
            </w:r>
          </w:p>
        </w:tc>
        <w:tc>
          <w:tcPr>
            <w:tcW w:type="dxa" w:w="4500"/>
            <w:tcBorders>
              <w:top w:val="single" w:color="C9C7DD" w:sz="1"/>
              <w:left w:val="single" w:color="C9C7DD" w:sz="1"/>
              <w:bottom w:val="single" w:color="C9C7DD" w:sz="1"/>
              <w:right w:val="single" w:color="C9C7DD" w:sz="1"/>
            </w:tcBorders>
            <w:shd w:fill="ECEAF6" w:color="auto" w:val="clear"/>
            <w:tcMar>
              <w:top w:type="dxa" w:w="70"/>
              <w:left w:type="dxa" w:w="110"/>
              <w:bottom w:type="dxa" w:w="70"/>
              <w:right w:type="dxa" w:w="110"/>
            </w:tcMar>
            <w:vAlign w:val="center"/>
          </w:tcPr>
          <w:p>
            <w:pPr>
              <w:spacing w:after="0" w:line="264"/>
            </w:pPr>
            <w:r>
              <w:rPr>
                <w:rFonts w:ascii="Calibri" w:cs="Calibri" w:eastAsia="Calibri" w:hAnsi="Calibri"/>
                <w:b/>
                <w:bCs/>
                <w:color w:val="2E2A5E"/>
                <w:sz w:val="20"/>
                <w:szCs w:val="20"/>
              </w:rPr>
              <w:t xml:space="preserve">Finding</w:t>
            </w:r>
          </w:p>
        </w:tc>
        <w:tc>
          <w:tcPr>
            <w:tcW w:type="dxa" w:w="3360"/>
            <w:tcBorders>
              <w:top w:val="single" w:color="C9C7DD" w:sz="1"/>
              <w:left w:val="single" w:color="C9C7DD" w:sz="1"/>
              <w:bottom w:val="single" w:color="C9C7DD" w:sz="1"/>
              <w:right w:val="single" w:color="C9C7DD" w:sz="1"/>
            </w:tcBorders>
            <w:shd w:fill="ECEAF6" w:color="auto" w:val="clear"/>
            <w:tcMar>
              <w:top w:type="dxa" w:w="70"/>
              <w:left w:type="dxa" w:w="110"/>
              <w:bottom w:type="dxa" w:w="70"/>
              <w:right w:type="dxa" w:w="110"/>
            </w:tcMar>
            <w:vAlign w:val="center"/>
          </w:tcPr>
          <w:p>
            <w:pPr>
              <w:spacing w:after="0" w:line="264"/>
            </w:pPr>
            <w:r>
              <w:rPr>
                <w:rFonts w:ascii="Calibri" w:cs="Calibri" w:eastAsia="Calibri" w:hAnsi="Calibri"/>
                <w:b/>
                <w:bCs/>
                <w:color w:val="2E2A5E"/>
                <w:sz w:val="20"/>
                <w:szCs w:val="20"/>
              </w:rPr>
              <w:t xml:space="preserve">Why it matters</w:t>
            </w:r>
          </w:p>
        </w:tc>
      </w:tr>
      <w:tr>
        <w:tc>
          <w:tcPr>
            <w:tcW w:type="dxa" w:w="1500"/>
            <w:tcBorders>
              <w:top w:val="single" w:color="C9C7DD" w:sz="1"/>
              <w:left w:val="single" w:color="C9C7DD" w:sz="1"/>
              <w:bottom w:val="single" w:color="C9C7DD" w:sz="1"/>
              <w:right w:val="single" w:color="C9C7DD" w:sz="1"/>
            </w:tcBorders>
            <w:tcMar>
              <w:top w:type="dxa" w:w="70"/>
              <w:left w:type="dxa" w:w="110"/>
              <w:bottom w:type="dxa" w:w="70"/>
              <w:right w:type="dxa" w:w="110"/>
            </w:tcMar>
            <w:vAlign w:val="center"/>
          </w:tcPr>
          <w:p>
            <w:pPr>
              <w:spacing w:after="0"/>
            </w:pPr>
            <w:r>
              <w:rPr>
                <w:rFonts w:ascii="Calibri" w:cs="Calibri" w:eastAsia="Calibri" w:hAnsi="Calibri"/>
                <w:b/>
                <w:bCs/>
                <w:color w:val="C2410C"/>
                <w:sz w:val="20"/>
                <w:szCs w:val="20"/>
              </w:rPr>
              <w:t xml:space="preserve">High</w:t>
            </w:r>
          </w:p>
        </w:tc>
        <w:tc>
          <w:tcPr>
            <w:tcW w:type="dxa" w:w="4500"/>
            <w:tcBorders>
              <w:top w:val="single" w:color="C9C7DD" w:sz="1"/>
              <w:left w:val="single" w:color="C9C7DD" w:sz="1"/>
              <w:bottom w:val="single" w:color="C9C7DD" w:sz="1"/>
              <w:right w:val="single" w:color="C9C7DD" w:sz="1"/>
            </w:tcBorders>
            <w:tcMar>
              <w:top w:type="dxa" w:w="70"/>
              <w:left w:type="dxa" w:w="110"/>
              <w:bottom w:type="dxa" w:w="70"/>
              <w:right w:type="dxa" w:w="110"/>
            </w:tcMar>
            <w:vAlign w:val="center"/>
          </w:tcPr>
          <w:p>
            <w:pPr>
              <w:spacing w:after="0" w:line="264"/>
            </w:pPr>
            <w:r>
              <w:rPr>
                <w:rFonts w:ascii="Calibri" w:cs="Calibri" w:eastAsia="Calibri" w:hAnsi="Calibri"/>
                <w:b/>
                <w:bCs/>
                <w:color w:val="1A1A2E"/>
                <w:sz w:val="20"/>
                <w:szCs w:val="20"/>
              </w:rPr>
              <w:t xml:space="preserve">Product cards are clickable &lt;div&gt;s, not links/buttons</w:t>
            </w:r>
          </w:p>
          <w:p>
            <w:pPr>
              <w:spacing w:after="0" w:before="30" w:line="264"/>
            </w:pPr>
            <w:r>
              <w:rPr>
                <w:rFonts w:ascii="Calibri" w:cs="Calibri" w:eastAsia="Calibri" w:hAnsi="Calibri"/>
                <w:color w:val="6B7280"/>
                <w:sz w:val="19"/>
                <w:szCs w:val="19"/>
              </w:rPr>
              <w:t xml:space="preserve">Collection cards navigate via an onClick on a div; they are not focusable, have no role, and don’t respond to Enter/Space.</w:t>
            </w:r>
          </w:p>
        </w:tc>
        <w:tc>
          <w:tcPr>
            <w:tcW w:type="dxa" w:w="3360"/>
            <w:tcBorders>
              <w:top w:val="single" w:color="C9C7DD" w:sz="1"/>
              <w:left w:val="single" w:color="C9C7DD" w:sz="1"/>
              <w:bottom w:val="single" w:color="C9C7DD" w:sz="1"/>
              <w:right w:val="single" w:color="C9C7DD" w:sz="1"/>
            </w:tcBorders>
            <w:tcMar>
              <w:top w:type="dxa" w:w="70"/>
              <w:left w:type="dxa" w:w="110"/>
              <w:bottom w:type="dxa" w:w="70"/>
              <w:right w:type="dxa" w:w="110"/>
            </w:tcMar>
            <w:vAlign w:val="center"/>
          </w:tcPr>
          <w:p>
            <w:pPr>
              <w:spacing w:after="0" w:line="264"/>
            </w:pPr>
            <w:r>
              <w:rPr>
                <w:rFonts w:ascii="Calibri" w:cs="Calibri" w:eastAsia="Calibri" w:hAnsi="Calibri"/>
                <w:b w:val="false"/>
                <w:bCs w:val="false"/>
                <w:color w:val="1A1A2E"/>
                <w:sz w:val="19"/>
                <w:szCs w:val="19"/>
              </w:rPr>
              <w:t xml:space="preserve">Keyboard and screen‑reader users cannot reliably open products, and crawlers see no &lt;a href&gt; to follow — an accessibility and SEO gap at once.</w:t>
            </w:r>
          </w:p>
        </w:tc>
      </w:tr>
      <w:tr>
        <w:tc>
          <w:tcPr>
            <w:tcW w:type="dxa" w:w="1500"/>
            <w:tcBorders>
              <w:top w:val="single" w:color="C9C7DD" w:sz="1"/>
              <w:left w:val="single" w:color="C9C7DD" w:sz="1"/>
              <w:bottom w:val="single" w:color="C9C7DD" w:sz="1"/>
              <w:right w:val="single" w:color="C9C7DD" w:sz="1"/>
            </w:tcBorders>
            <w:shd w:fill="F7F6FB" w:color="auto" w:val="clear"/>
            <w:tcMar>
              <w:top w:type="dxa" w:w="70"/>
              <w:left w:type="dxa" w:w="110"/>
              <w:bottom w:type="dxa" w:w="70"/>
              <w:right w:type="dxa" w:w="110"/>
            </w:tcMar>
            <w:vAlign w:val="center"/>
          </w:tcPr>
          <w:p>
            <w:pPr>
              <w:spacing w:after="0"/>
            </w:pPr>
            <w:r>
              <w:rPr>
                <w:rFonts w:ascii="Calibri" w:cs="Calibri" w:eastAsia="Calibri" w:hAnsi="Calibri"/>
                <w:b/>
                <w:bCs/>
                <w:color w:val="B45309"/>
                <w:sz w:val="20"/>
                <w:szCs w:val="20"/>
              </w:rPr>
              <w:t xml:space="preserve">Medium</w:t>
            </w:r>
          </w:p>
        </w:tc>
        <w:tc>
          <w:tcPr>
            <w:tcW w:type="dxa" w:w="4500"/>
            <w:tcBorders>
              <w:top w:val="single" w:color="C9C7DD" w:sz="1"/>
              <w:left w:val="single" w:color="C9C7DD" w:sz="1"/>
              <w:bottom w:val="single" w:color="C9C7DD" w:sz="1"/>
              <w:right w:val="single" w:color="C9C7DD" w:sz="1"/>
            </w:tcBorders>
            <w:shd w:fill="F7F6FB" w:color="auto" w:val="clear"/>
            <w:tcMar>
              <w:top w:type="dxa" w:w="70"/>
              <w:left w:type="dxa" w:w="110"/>
              <w:bottom w:type="dxa" w:w="70"/>
              <w:right w:type="dxa" w:w="110"/>
            </w:tcMar>
            <w:vAlign w:val="center"/>
          </w:tcPr>
          <w:p>
            <w:pPr>
              <w:spacing w:after="0" w:line="264"/>
            </w:pPr>
            <w:r>
              <w:rPr>
                <w:rFonts w:ascii="Calibri" w:cs="Calibri" w:eastAsia="Calibri" w:hAnsi="Calibri"/>
                <w:b/>
                <w:bCs/>
                <w:color w:val="1A1A2E"/>
                <w:sz w:val="20"/>
                <w:szCs w:val="20"/>
              </w:rPr>
              <w:t xml:space="preserve">Desktop “Categories” menu is hover‑only</w:t>
            </w:r>
          </w:p>
          <w:p>
            <w:pPr>
              <w:spacing w:after="0" w:before="30" w:line="264"/>
            </w:pPr>
            <w:r>
              <w:rPr>
                <w:rFonts w:ascii="Calibri" w:cs="Calibri" w:eastAsia="Calibri" w:hAnsi="Calibri"/>
                <w:color w:val="6B7280"/>
                <w:sz w:val="19"/>
                <w:szCs w:val="19"/>
              </w:rPr>
              <w:t xml:space="preserve">The trigger is a styled &lt;span&gt; with cursor:pointer; the panel is revealed purely on hover with pointer‑events disabled until then.</w:t>
            </w:r>
          </w:p>
        </w:tc>
        <w:tc>
          <w:tcPr>
            <w:tcW w:type="dxa" w:w="3360"/>
            <w:tcBorders>
              <w:top w:val="single" w:color="C9C7DD" w:sz="1"/>
              <w:left w:val="single" w:color="C9C7DD" w:sz="1"/>
              <w:bottom w:val="single" w:color="C9C7DD" w:sz="1"/>
              <w:right w:val="single" w:color="C9C7DD" w:sz="1"/>
            </w:tcBorders>
            <w:shd w:fill="F7F6FB" w:color="auto" w:val="clear"/>
            <w:tcMar>
              <w:top w:type="dxa" w:w="70"/>
              <w:left w:type="dxa" w:w="110"/>
              <w:bottom w:type="dxa" w:w="70"/>
              <w:right w:type="dxa" w:w="110"/>
            </w:tcMar>
            <w:vAlign w:val="center"/>
          </w:tcPr>
          <w:p>
            <w:pPr>
              <w:spacing w:after="0" w:line="264"/>
            </w:pPr>
            <w:r>
              <w:rPr>
                <w:rFonts w:ascii="Calibri" w:cs="Calibri" w:eastAsia="Calibri" w:hAnsi="Calibri"/>
                <w:b w:val="false"/>
                <w:bCs w:val="false"/>
                <w:color w:val="1A1A2E"/>
                <w:sz w:val="19"/>
                <w:szCs w:val="19"/>
              </w:rPr>
              <w:t xml:space="preserve">Keyboard and touch users cannot open the category menu; the links inside are effectively unreachable without a mouse.</w:t>
            </w:r>
          </w:p>
        </w:tc>
      </w:tr>
      <w:tr>
        <w:tc>
          <w:tcPr>
            <w:tcW w:type="dxa" w:w="1500"/>
            <w:tcBorders>
              <w:top w:val="single" w:color="C9C7DD" w:sz="1"/>
              <w:left w:val="single" w:color="C9C7DD" w:sz="1"/>
              <w:bottom w:val="single" w:color="C9C7DD" w:sz="1"/>
              <w:right w:val="single" w:color="C9C7DD" w:sz="1"/>
            </w:tcBorders>
            <w:tcMar>
              <w:top w:type="dxa" w:w="70"/>
              <w:left w:type="dxa" w:w="110"/>
              <w:bottom w:type="dxa" w:w="70"/>
              <w:right w:type="dxa" w:w="110"/>
            </w:tcMar>
            <w:vAlign w:val="center"/>
          </w:tcPr>
          <w:p>
            <w:pPr>
              <w:spacing w:after="0"/>
            </w:pPr>
            <w:r>
              <w:rPr>
                <w:rFonts w:ascii="Calibri" w:cs="Calibri" w:eastAsia="Calibri" w:hAnsi="Calibri"/>
                <w:b/>
                <w:bCs/>
                <w:color w:val="B45309"/>
                <w:sz w:val="20"/>
                <w:szCs w:val="20"/>
              </w:rPr>
              <w:t xml:space="preserve">Medium</w:t>
            </w:r>
          </w:p>
        </w:tc>
        <w:tc>
          <w:tcPr>
            <w:tcW w:type="dxa" w:w="4500"/>
            <w:tcBorders>
              <w:top w:val="single" w:color="C9C7DD" w:sz="1"/>
              <w:left w:val="single" w:color="C9C7DD" w:sz="1"/>
              <w:bottom w:val="single" w:color="C9C7DD" w:sz="1"/>
              <w:right w:val="single" w:color="C9C7DD" w:sz="1"/>
            </w:tcBorders>
            <w:tcMar>
              <w:top w:type="dxa" w:w="70"/>
              <w:left w:type="dxa" w:w="110"/>
              <w:bottom w:type="dxa" w:w="70"/>
              <w:right w:type="dxa" w:w="110"/>
            </w:tcMar>
            <w:vAlign w:val="center"/>
          </w:tcPr>
          <w:p>
            <w:pPr>
              <w:spacing w:after="0" w:line="264"/>
            </w:pPr>
            <w:r>
              <w:rPr>
                <w:rFonts w:ascii="Calibri" w:cs="Calibri" w:eastAsia="Calibri" w:hAnsi="Calibri"/>
                <w:b/>
                <w:bCs/>
                <w:color w:val="1A1A2E"/>
                <w:sz w:val="20"/>
                <w:szCs w:val="20"/>
              </w:rPr>
              <w:t xml:space="preserve">Checkout omits shipping &amp; tax lines</w:t>
            </w:r>
          </w:p>
          <w:p>
            <w:pPr>
              <w:spacing w:after="0" w:before="30" w:line="264"/>
            </w:pPr>
            <w:r>
              <w:rPr>
                <w:rFonts w:ascii="Calibri" w:cs="Calibri" w:eastAsia="Calibri" w:hAnsi="Calibri"/>
                <w:color w:val="6B7280"/>
                <w:sz w:val="19"/>
                <w:szCs w:val="19"/>
              </w:rPr>
              <w:t xml:space="preserve">The order summary shows only item subtotal as the total, despite “free shipping over $100” messaging elsewhere; no tax or shipping row appears.</w:t>
            </w:r>
          </w:p>
        </w:tc>
        <w:tc>
          <w:tcPr>
            <w:tcW w:type="dxa" w:w="3360"/>
            <w:tcBorders>
              <w:top w:val="single" w:color="C9C7DD" w:sz="1"/>
              <w:left w:val="single" w:color="C9C7DD" w:sz="1"/>
              <w:bottom w:val="single" w:color="C9C7DD" w:sz="1"/>
              <w:right w:val="single" w:color="C9C7DD" w:sz="1"/>
            </w:tcBorders>
            <w:tcMar>
              <w:top w:type="dxa" w:w="70"/>
              <w:left w:type="dxa" w:w="110"/>
              <w:bottom w:type="dxa" w:w="70"/>
              <w:right w:type="dxa" w:w="110"/>
            </w:tcMar>
            <w:vAlign w:val="center"/>
          </w:tcPr>
          <w:p>
            <w:pPr>
              <w:spacing w:after="0" w:line="264"/>
            </w:pPr>
            <w:r>
              <w:rPr>
                <w:rFonts w:ascii="Calibri" w:cs="Calibri" w:eastAsia="Calibri" w:hAnsi="Calibri"/>
                <w:b w:val="false"/>
                <w:bCs w:val="false"/>
                <w:color w:val="1A1A2E"/>
                <w:sz w:val="19"/>
                <w:szCs w:val="19"/>
              </w:rPr>
              <w:t xml:space="preserve">Price expectations may be unclear, and the displayed total may not match what shoppers anticipate at a luxury price point.</w:t>
            </w:r>
          </w:p>
        </w:tc>
      </w:tr>
      <w:tr>
        <w:tc>
          <w:tcPr>
            <w:tcW w:type="dxa" w:w="1500"/>
            <w:tcBorders>
              <w:top w:val="single" w:color="C9C7DD" w:sz="1"/>
              <w:left w:val="single" w:color="C9C7DD" w:sz="1"/>
              <w:bottom w:val="single" w:color="C9C7DD" w:sz="1"/>
              <w:right w:val="single" w:color="C9C7DD" w:sz="1"/>
            </w:tcBorders>
            <w:shd w:fill="F7F6FB" w:color="auto" w:val="clear"/>
            <w:tcMar>
              <w:top w:type="dxa" w:w="70"/>
              <w:left w:type="dxa" w:w="110"/>
              <w:bottom w:type="dxa" w:w="70"/>
              <w:right w:type="dxa" w:w="110"/>
            </w:tcMar>
            <w:vAlign w:val="center"/>
          </w:tcPr>
          <w:p>
            <w:pPr>
              <w:spacing w:after="0"/>
            </w:pPr>
            <w:r>
              <w:rPr>
                <w:rFonts w:ascii="Calibri" w:cs="Calibri" w:eastAsia="Calibri" w:hAnsi="Calibri"/>
                <w:b/>
                <w:bCs/>
                <w:color w:val="B45309"/>
                <w:sz w:val="20"/>
                <w:szCs w:val="20"/>
              </w:rPr>
              <w:t xml:space="preserve">Medium</w:t>
            </w:r>
          </w:p>
        </w:tc>
        <w:tc>
          <w:tcPr>
            <w:tcW w:type="dxa" w:w="4500"/>
            <w:tcBorders>
              <w:top w:val="single" w:color="C9C7DD" w:sz="1"/>
              <w:left w:val="single" w:color="C9C7DD" w:sz="1"/>
              <w:bottom w:val="single" w:color="C9C7DD" w:sz="1"/>
              <w:right w:val="single" w:color="C9C7DD" w:sz="1"/>
            </w:tcBorders>
            <w:shd w:fill="F7F6FB" w:color="auto" w:val="clear"/>
            <w:tcMar>
              <w:top w:type="dxa" w:w="70"/>
              <w:left w:type="dxa" w:w="110"/>
              <w:bottom w:type="dxa" w:w="70"/>
              <w:right w:type="dxa" w:w="110"/>
            </w:tcMar>
            <w:vAlign w:val="center"/>
          </w:tcPr>
          <w:p>
            <w:pPr>
              <w:spacing w:after="0" w:line="264"/>
            </w:pPr>
            <w:r>
              <w:rPr>
                <w:rFonts w:ascii="Calibri" w:cs="Calibri" w:eastAsia="Calibri" w:hAnsi="Calibri"/>
                <w:b/>
                <w:bCs/>
                <w:color w:val="1A1A2E"/>
                <w:sz w:val="20"/>
                <w:szCs w:val="20"/>
              </w:rPr>
              <w:t xml:space="preserve">Admin uses native alert()/confirm() for destructive actions</w:t>
            </w:r>
          </w:p>
          <w:p>
            <w:pPr>
              <w:spacing w:after="0" w:before="30" w:line="264"/>
            </w:pPr>
            <w:r>
              <w:rPr>
                <w:rFonts w:ascii="Calibri" w:cs="Calibri" w:eastAsia="Calibri" w:hAnsi="Calibri"/>
                <w:color w:val="6B7280"/>
                <w:sz w:val="19"/>
                <w:szCs w:val="19"/>
              </w:rPr>
              <w:t xml:space="preserve">Errors and “delete all products/orders/payments” confirmations rely on browser dialogs.</w:t>
            </w:r>
          </w:p>
        </w:tc>
        <w:tc>
          <w:tcPr>
            <w:tcW w:type="dxa" w:w="3360"/>
            <w:tcBorders>
              <w:top w:val="single" w:color="C9C7DD" w:sz="1"/>
              <w:left w:val="single" w:color="C9C7DD" w:sz="1"/>
              <w:bottom w:val="single" w:color="C9C7DD" w:sz="1"/>
              <w:right w:val="single" w:color="C9C7DD" w:sz="1"/>
            </w:tcBorders>
            <w:shd w:fill="F7F6FB" w:color="auto" w:val="clear"/>
            <w:tcMar>
              <w:top w:type="dxa" w:w="70"/>
              <w:left w:type="dxa" w:w="110"/>
              <w:bottom w:type="dxa" w:w="70"/>
              <w:right w:type="dxa" w:w="110"/>
            </w:tcMar>
            <w:vAlign w:val="center"/>
          </w:tcPr>
          <w:p>
            <w:pPr>
              <w:spacing w:after="0" w:line="264"/>
            </w:pPr>
            <w:r>
              <w:rPr>
                <w:rFonts w:ascii="Calibri" w:cs="Calibri" w:eastAsia="Calibri" w:hAnsi="Calibri"/>
                <w:b w:val="false"/>
                <w:bCs w:val="false"/>
                <w:color w:val="1A1A2E"/>
                <w:sz w:val="19"/>
                <w:szCs w:val="19"/>
              </w:rPr>
              <w:t xml:space="preserve">Jarring, unstyled UX and a weak guard for irreversible bulk deletions in the admin console.</w:t>
            </w:r>
          </w:p>
        </w:tc>
      </w:tr>
      <w:tr>
        <w:tc>
          <w:tcPr>
            <w:tcW w:type="dxa" w:w="1500"/>
            <w:tcBorders>
              <w:top w:val="single" w:color="C9C7DD" w:sz="1"/>
              <w:left w:val="single" w:color="C9C7DD" w:sz="1"/>
              <w:bottom w:val="single" w:color="C9C7DD" w:sz="1"/>
              <w:right w:val="single" w:color="C9C7DD" w:sz="1"/>
            </w:tcBorders>
            <w:tcMar>
              <w:top w:type="dxa" w:w="70"/>
              <w:left w:type="dxa" w:w="110"/>
              <w:bottom w:type="dxa" w:w="70"/>
              <w:right w:type="dxa" w:w="110"/>
            </w:tcMar>
            <w:vAlign w:val="center"/>
          </w:tcPr>
          <w:p>
            <w:pPr>
              <w:spacing w:after="0"/>
            </w:pPr>
            <w:r>
              <w:rPr>
                <w:rFonts w:ascii="Calibri" w:cs="Calibri" w:eastAsia="Calibri" w:hAnsi="Calibri"/>
                <w:b/>
                <w:bCs/>
                <w:color w:val="4B5563"/>
                <w:sz w:val="20"/>
                <w:szCs w:val="20"/>
              </w:rPr>
              <w:t xml:space="preserve">Low</w:t>
            </w:r>
          </w:p>
        </w:tc>
        <w:tc>
          <w:tcPr>
            <w:tcW w:type="dxa" w:w="4500"/>
            <w:tcBorders>
              <w:top w:val="single" w:color="C9C7DD" w:sz="1"/>
              <w:left w:val="single" w:color="C9C7DD" w:sz="1"/>
              <w:bottom w:val="single" w:color="C9C7DD" w:sz="1"/>
              <w:right w:val="single" w:color="C9C7DD" w:sz="1"/>
            </w:tcBorders>
            <w:tcMar>
              <w:top w:type="dxa" w:w="70"/>
              <w:left w:type="dxa" w:w="110"/>
              <w:bottom w:type="dxa" w:w="70"/>
              <w:right w:type="dxa" w:w="110"/>
            </w:tcMar>
            <w:vAlign w:val="center"/>
          </w:tcPr>
          <w:p>
            <w:pPr>
              <w:spacing w:after="0" w:line="264"/>
            </w:pPr>
            <w:r>
              <w:rPr>
                <w:rFonts w:ascii="Calibri" w:cs="Calibri" w:eastAsia="Calibri" w:hAnsi="Calibri"/>
                <w:b/>
                <w:bCs/>
                <w:color w:val="1A1A2E"/>
                <w:sz w:val="20"/>
                <w:szCs w:val="20"/>
              </w:rPr>
              <w:t xml:space="preserve">Inconsistent / placeholder social links</w:t>
            </w:r>
          </w:p>
          <w:p>
            <w:pPr>
              <w:spacing w:after="0" w:before="30" w:line="264"/>
            </w:pPr>
            <w:r>
              <w:rPr>
                <w:rFonts w:ascii="Calibri" w:cs="Calibri" w:eastAsia="Calibri" w:hAnsi="Calibri"/>
                <w:color w:val="6B7280"/>
                <w:sz w:val="19"/>
                <w:szCs w:val="19"/>
              </w:rPr>
              <w:t xml:space="preserve">The mobile menu’s Instagram/Pinterest/Support links are href=#  placeholders, while the footer has real ones.</w:t>
            </w:r>
          </w:p>
        </w:tc>
        <w:tc>
          <w:tcPr>
            <w:tcW w:type="dxa" w:w="3360"/>
            <w:tcBorders>
              <w:top w:val="single" w:color="C9C7DD" w:sz="1"/>
              <w:left w:val="single" w:color="C9C7DD" w:sz="1"/>
              <w:bottom w:val="single" w:color="C9C7DD" w:sz="1"/>
              <w:right w:val="single" w:color="C9C7DD" w:sz="1"/>
            </w:tcBorders>
            <w:tcMar>
              <w:top w:type="dxa" w:w="70"/>
              <w:left w:type="dxa" w:w="110"/>
              <w:bottom w:type="dxa" w:w="70"/>
              <w:right w:type="dxa" w:w="110"/>
            </w:tcMar>
            <w:vAlign w:val="center"/>
          </w:tcPr>
          <w:p>
            <w:pPr>
              <w:spacing w:after="0" w:line="264"/>
            </w:pPr>
            <w:r>
              <w:rPr>
                <w:rFonts w:ascii="Calibri" w:cs="Calibri" w:eastAsia="Calibri" w:hAnsi="Calibri"/>
                <w:b w:val="false"/>
                <w:bCs w:val="false"/>
                <w:color w:val="1A1A2E"/>
                <w:sz w:val="19"/>
                <w:szCs w:val="19"/>
              </w:rPr>
              <w:t xml:space="preserve">Dead links in the mobile drawer feel unfinished and confuse users.</w:t>
            </w:r>
          </w:p>
        </w:tc>
      </w:tr>
      <w:tr>
        <w:tc>
          <w:tcPr>
            <w:tcW w:type="dxa" w:w="1500"/>
            <w:tcBorders>
              <w:top w:val="single" w:color="C9C7DD" w:sz="1"/>
              <w:left w:val="single" w:color="C9C7DD" w:sz="1"/>
              <w:bottom w:val="single" w:color="C9C7DD" w:sz="1"/>
              <w:right w:val="single" w:color="C9C7DD" w:sz="1"/>
            </w:tcBorders>
            <w:shd w:fill="F7F6FB" w:color="auto" w:val="clear"/>
            <w:tcMar>
              <w:top w:type="dxa" w:w="70"/>
              <w:left w:type="dxa" w:w="110"/>
              <w:bottom w:type="dxa" w:w="70"/>
              <w:right w:type="dxa" w:w="110"/>
            </w:tcMar>
            <w:vAlign w:val="center"/>
          </w:tcPr>
          <w:p>
            <w:pPr>
              <w:spacing w:after="0"/>
            </w:pPr>
            <w:r>
              <w:rPr>
                <w:rFonts w:ascii="Calibri" w:cs="Calibri" w:eastAsia="Calibri" w:hAnsi="Calibri"/>
                <w:b/>
                <w:bCs/>
                <w:color w:val="4B5563"/>
                <w:sz w:val="20"/>
                <w:szCs w:val="20"/>
              </w:rPr>
              <w:t xml:space="preserve">Low</w:t>
            </w:r>
          </w:p>
        </w:tc>
        <w:tc>
          <w:tcPr>
            <w:tcW w:type="dxa" w:w="4500"/>
            <w:tcBorders>
              <w:top w:val="single" w:color="C9C7DD" w:sz="1"/>
              <w:left w:val="single" w:color="C9C7DD" w:sz="1"/>
              <w:bottom w:val="single" w:color="C9C7DD" w:sz="1"/>
              <w:right w:val="single" w:color="C9C7DD" w:sz="1"/>
            </w:tcBorders>
            <w:shd w:fill="F7F6FB" w:color="auto" w:val="clear"/>
            <w:tcMar>
              <w:top w:type="dxa" w:w="70"/>
              <w:left w:type="dxa" w:w="110"/>
              <w:bottom w:type="dxa" w:w="70"/>
              <w:right w:type="dxa" w:w="110"/>
            </w:tcMar>
            <w:vAlign w:val="center"/>
          </w:tcPr>
          <w:p>
            <w:pPr>
              <w:spacing w:after="0" w:line="264"/>
            </w:pPr>
            <w:r>
              <w:rPr>
                <w:rFonts w:ascii="Calibri" w:cs="Calibri" w:eastAsia="Calibri" w:hAnsi="Calibri"/>
                <w:b/>
                <w:bCs/>
                <w:color w:val="1A1A2E"/>
                <w:sz w:val="20"/>
                <w:szCs w:val="20"/>
              </w:rPr>
              <w:t xml:space="preserve">Multiple &lt;h1&gt; on the homepage</w:t>
            </w:r>
          </w:p>
          <w:p>
            <w:pPr>
              <w:spacing w:after="0" w:before="30" w:line="264"/>
            </w:pPr>
            <w:r>
              <w:rPr>
                <w:rFonts w:ascii="Calibri" w:cs="Calibri" w:eastAsia="Calibri" w:hAnsi="Calibri"/>
                <w:color w:val="6B7280"/>
                <w:sz w:val="19"/>
                <w:szCs w:val="19"/>
              </w:rPr>
              <w:t xml:space="preserve">Each hero slide renders its own &lt;h1&gt;, so more than one exists in the DOM at once.</w:t>
            </w:r>
          </w:p>
        </w:tc>
        <w:tc>
          <w:tcPr>
            <w:tcW w:type="dxa" w:w="3360"/>
            <w:tcBorders>
              <w:top w:val="single" w:color="C9C7DD" w:sz="1"/>
              <w:left w:val="single" w:color="C9C7DD" w:sz="1"/>
              <w:bottom w:val="single" w:color="C9C7DD" w:sz="1"/>
              <w:right w:val="single" w:color="C9C7DD" w:sz="1"/>
            </w:tcBorders>
            <w:shd w:fill="F7F6FB" w:color="auto" w:val="clear"/>
            <w:tcMar>
              <w:top w:type="dxa" w:w="70"/>
              <w:left w:type="dxa" w:w="110"/>
              <w:bottom w:type="dxa" w:w="70"/>
              <w:right w:type="dxa" w:w="110"/>
            </w:tcMar>
            <w:vAlign w:val="center"/>
          </w:tcPr>
          <w:p>
            <w:pPr>
              <w:spacing w:after="0" w:line="264"/>
            </w:pPr>
            <w:r>
              <w:rPr>
                <w:rFonts w:ascii="Calibri" w:cs="Calibri" w:eastAsia="Calibri" w:hAnsi="Calibri"/>
                <w:b w:val="false"/>
                <w:bCs w:val="false"/>
                <w:color w:val="1A1A2E"/>
                <w:sz w:val="19"/>
                <w:szCs w:val="19"/>
              </w:rPr>
              <w:t xml:space="preserve">Slightly muddies document semantics for assistive tech and search engines.</w:t>
            </w:r>
          </w:p>
        </w:tc>
      </w:tr>
      <w:tr>
        <w:tc>
          <w:tcPr>
            <w:tcW w:type="dxa" w:w="1500"/>
            <w:tcBorders>
              <w:top w:val="single" w:color="C9C7DD" w:sz="1"/>
              <w:left w:val="single" w:color="C9C7DD" w:sz="1"/>
              <w:bottom w:val="single" w:color="C9C7DD" w:sz="1"/>
              <w:right w:val="single" w:color="C9C7DD" w:sz="1"/>
            </w:tcBorders>
            <w:tcMar>
              <w:top w:type="dxa" w:w="70"/>
              <w:left w:type="dxa" w:w="110"/>
              <w:bottom w:type="dxa" w:w="70"/>
              <w:right w:type="dxa" w:w="110"/>
            </w:tcMar>
            <w:vAlign w:val="center"/>
          </w:tcPr>
          <w:p>
            <w:pPr>
              <w:spacing w:after="0"/>
            </w:pPr>
            <w:r>
              <w:rPr>
                <w:rFonts w:ascii="Calibri" w:cs="Calibri" w:eastAsia="Calibri" w:hAnsi="Calibri"/>
                <w:b/>
                <w:bCs/>
                <w:color w:val="15803D"/>
                <w:sz w:val="20"/>
                <w:szCs w:val="20"/>
              </w:rPr>
              <w:t xml:space="preserve">Positive</w:t>
            </w:r>
          </w:p>
        </w:tc>
        <w:tc>
          <w:tcPr>
            <w:tcW w:type="dxa" w:w="4500"/>
            <w:tcBorders>
              <w:top w:val="single" w:color="C9C7DD" w:sz="1"/>
              <w:left w:val="single" w:color="C9C7DD" w:sz="1"/>
              <w:bottom w:val="single" w:color="C9C7DD" w:sz="1"/>
              <w:right w:val="single" w:color="C9C7DD" w:sz="1"/>
            </w:tcBorders>
            <w:tcMar>
              <w:top w:type="dxa" w:w="70"/>
              <w:left w:type="dxa" w:w="110"/>
              <w:bottom w:type="dxa" w:w="70"/>
              <w:right w:type="dxa" w:w="110"/>
            </w:tcMar>
            <w:vAlign w:val="center"/>
          </w:tcPr>
          <w:p>
            <w:pPr>
              <w:spacing w:after="0" w:line="264"/>
            </w:pPr>
            <w:r>
              <w:rPr>
                <w:rFonts w:ascii="Calibri" w:cs="Calibri" w:eastAsia="Calibri" w:hAnsi="Calibri"/>
                <w:b/>
                <w:bCs/>
                <w:color w:val="1A1A2E"/>
                <w:sz w:val="20"/>
                <w:szCs w:val="20"/>
              </w:rPr>
              <w:t xml:space="preserve">Accessible search, skip‑link, error boundary, skeletons</w:t>
            </w:r>
          </w:p>
          <w:p>
            <w:pPr>
              <w:spacing w:after="0" w:before="30" w:line="264"/>
            </w:pPr>
            <w:r>
              <w:rPr>
                <w:rFonts w:ascii="Calibri" w:cs="Calibri" w:eastAsia="Calibri" w:hAnsi="Calibri"/>
                <w:color w:val="6B7280"/>
                <w:sz w:val="19"/>
                <w:szCs w:val="19"/>
              </w:rPr>
              <w:t xml:space="preserve">ARIA combobox with arrow‑key support, focus‑visible styles, graceful loading and recovery states.</w:t>
            </w:r>
          </w:p>
        </w:tc>
        <w:tc>
          <w:tcPr>
            <w:tcW w:type="dxa" w:w="3360"/>
            <w:tcBorders>
              <w:top w:val="single" w:color="C9C7DD" w:sz="1"/>
              <w:left w:val="single" w:color="C9C7DD" w:sz="1"/>
              <w:bottom w:val="single" w:color="C9C7DD" w:sz="1"/>
              <w:right w:val="single" w:color="C9C7DD" w:sz="1"/>
            </w:tcBorders>
            <w:tcMar>
              <w:top w:type="dxa" w:w="70"/>
              <w:left w:type="dxa" w:w="110"/>
              <w:bottom w:type="dxa" w:w="70"/>
              <w:right w:type="dxa" w:w="110"/>
            </w:tcMar>
            <w:vAlign w:val="center"/>
          </w:tcPr>
          <w:p>
            <w:pPr>
              <w:spacing w:after="0" w:line="264"/>
            </w:pPr>
            <w:r>
              <w:rPr>
                <w:rFonts w:ascii="Calibri" w:cs="Calibri" w:eastAsia="Calibri" w:hAnsi="Calibri"/>
                <w:b w:val="false"/>
                <w:bCs w:val="false"/>
                <w:color w:val="1A1A2E"/>
                <w:sz w:val="19"/>
                <w:szCs w:val="19"/>
              </w:rPr>
              <w:t xml:space="preserve">These materially raise everyday usability and resilience and are the main reason the score is a 7.</w:t>
            </w:r>
          </w:p>
        </w:tc>
      </w:tr>
    </w:tbl>
    <w:p>
      <w:pPr>
        <w:pStyle w:val="Heading1"/>
        <w:pBdr>
          <w:bottom w:val="single" w:color="6D5BD0" w:sz="10" w:space="4"/>
        </w:pBdr>
        <w:spacing w:after="140" w:before="320"/>
      </w:pPr>
      <w:r>
        <w:rPr>
          <w:rFonts w:ascii="Calibri" w:cs="Calibri" w:eastAsia="Calibri" w:hAnsi="Calibri"/>
          <w:b/>
          <w:bCs/>
          <w:color w:val="2E2A5E"/>
          <w:sz w:val="30"/>
          <w:szCs w:val="30"/>
        </w:rPr>
        <w:t xml:space="preserve">4. Content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7DD" w:sz="1"/>
              <w:left w:val="single" w:color="B45309" w:sz="18"/>
              <w:bottom w:val="single" w:color="C9C7DD" w:sz="1"/>
              <w:right w:val="single" w:color="C9C7DD" w:sz="1"/>
            </w:tcBorders>
            <w:shd w:fill="ECEAF6" w:color="auto" w:val="clear"/>
            <w:tcMar>
              <w:top w:type="dxa" w:w="90"/>
              <w:left w:type="dxa" w:w="160"/>
              <w:bottom w:type="dxa" w:w="90"/>
              <w:right w:type="dxa" w:w="120"/>
            </w:tcMar>
            <w:vAlign w:val="center"/>
          </w:tcPr>
          <w:p>
            <w:pPr>
              <w:spacing w:after="0"/>
            </w:pPr>
            <w:r>
              <w:rPr>
                <w:rFonts w:ascii="Calibri" w:cs="Calibri" w:eastAsia="Calibri" w:hAnsi="Calibri"/>
                <w:b/>
                <w:bCs/>
                <w:color w:val="2E2A5E"/>
                <w:sz w:val="24"/>
                <w:szCs w:val="24"/>
              </w:rPr>
              <w:t xml:space="preserve">Content Score:  </w:t>
            </w:r>
            <w:r>
              <w:rPr>
                <w:rFonts w:ascii="Calibri" w:cs="Calibri" w:eastAsia="Calibri" w:hAnsi="Calibri"/>
                <w:b/>
                <w:bCs/>
                <w:color w:val="B45309"/>
                <w:sz w:val="24"/>
                <w:szCs w:val="24"/>
              </w:rPr>
              <w:t xml:space="preserve">6 / 10</w:t>
            </w:r>
          </w:p>
        </w:tc>
      </w:tr>
    </w:tbl>
    <w:p>
      <w:pPr>
        <w:spacing w:after="120" w:before="0" w:line="276"/>
      </w:pPr>
      <w:r>
        <w:rPr>
          <w:rFonts w:ascii="Calibri" w:cs="Calibri" w:eastAsia="Calibri" w:hAnsi="Calibri"/>
          <w:b w:val="false"/>
          <w:bCs w:val="false"/>
          <w:i w:val="false"/>
          <w:iCs w:val="false"/>
          <w:color w:val="1A1A2E"/>
          <w:sz w:val="22"/>
          <w:szCs w:val="22"/>
        </w:rPr>
        <w:t xml:space="preserve">The written experience is confident and on‑brand. The “Universe of Silver” voice is consistent across the hero, story sections, and product copy, and the database product descriptions are specific and useful (material, finish, dimensions, care). The support and legal surface is unusually complete for a project this size — FAQ, Care Guide, Size Guide, Shipping &amp; Returns, Terms, Contact, About, and a Privacy Policy that is current and accurate about Stripe/PCI and analytics cookies. Points are deducted mainly for a content‑integrity gap between the homepage and the real catalog, plus a few smaller inaccuracies.</w:t>
      </w:r>
    </w:p>
    <w:p>
      <w:pPr>
        <w:pStyle w:val="Heading2"/>
        <w:spacing w:after="90" w:before="220"/>
      </w:pPr>
      <w:r>
        <w:rPr>
          <w:rFonts w:ascii="Calibri" w:cs="Calibri" w:eastAsia="Calibri" w:hAnsi="Calibri"/>
          <w:b/>
          <w:bCs/>
          <w:color w:val="2E2A5E"/>
          <w:sz w:val="24"/>
          <w:szCs w:val="24"/>
        </w:rPr>
        <w:t xml:space="preserve">4.1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3360"/>
      </w:tblGrid>
      <w:tr>
        <w:trPr>
          <w:tblHeader/>
        </w:trPr>
        <w:tc>
          <w:tcPr>
            <w:tcW w:type="dxa" w:w="1500"/>
            <w:tcBorders>
              <w:top w:val="single" w:color="C9C7DD" w:sz="1"/>
              <w:left w:val="single" w:color="C9C7DD" w:sz="1"/>
              <w:bottom w:val="single" w:color="C9C7DD" w:sz="1"/>
              <w:right w:val="single" w:color="C9C7DD" w:sz="1"/>
            </w:tcBorders>
            <w:shd w:fill="ECEAF6" w:color="auto" w:val="clear"/>
            <w:tcMar>
              <w:top w:type="dxa" w:w="70"/>
              <w:left w:type="dxa" w:w="110"/>
              <w:bottom w:type="dxa" w:w="70"/>
              <w:right w:type="dxa" w:w="110"/>
            </w:tcMar>
            <w:vAlign w:val="center"/>
          </w:tcPr>
          <w:p>
            <w:pPr>
              <w:spacing w:after="0" w:line="264"/>
            </w:pPr>
            <w:r>
              <w:rPr>
                <w:rFonts w:ascii="Calibri" w:cs="Calibri" w:eastAsia="Calibri" w:hAnsi="Calibri"/>
                <w:b/>
                <w:bCs/>
                <w:color w:val="2E2A5E"/>
                <w:sz w:val="20"/>
                <w:szCs w:val="20"/>
              </w:rPr>
              <w:t xml:space="preserve">Severity</w:t>
            </w:r>
          </w:p>
        </w:tc>
        <w:tc>
          <w:tcPr>
            <w:tcW w:type="dxa" w:w="4500"/>
            <w:tcBorders>
              <w:top w:val="single" w:color="C9C7DD" w:sz="1"/>
              <w:left w:val="single" w:color="C9C7DD" w:sz="1"/>
              <w:bottom w:val="single" w:color="C9C7DD" w:sz="1"/>
              <w:right w:val="single" w:color="C9C7DD" w:sz="1"/>
            </w:tcBorders>
            <w:shd w:fill="ECEAF6" w:color="auto" w:val="clear"/>
            <w:tcMar>
              <w:top w:type="dxa" w:w="70"/>
              <w:left w:type="dxa" w:w="110"/>
              <w:bottom w:type="dxa" w:w="70"/>
              <w:right w:type="dxa" w:w="110"/>
            </w:tcMar>
            <w:vAlign w:val="center"/>
          </w:tcPr>
          <w:p>
            <w:pPr>
              <w:spacing w:after="0" w:line="264"/>
            </w:pPr>
            <w:r>
              <w:rPr>
                <w:rFonts w:ascii="Calibri" w:cs="Calibri" w:eastAsia="Calibri" w:hAnsi="Calibri"/>
                <w:b/>
                <w:bCs/>
                <w:color w:val="2E2A5E"/>
                <w:sz w:val="20"/>
                <w:szCs w:val="20"/>
              </w:rPr>
              <w:t xml:space="preserve">Finding</w:t>
            </w:r>
          </w:p>
        </w:tc>
        <w:tc>
          <w:tcPr>
            <w:tcW w:type="dxa" w:w="3360"/>
            <w:tcBorders>
              <w:top w:val="single" w:color="C9C7DD" w:sz="1"/>
              <w:left w:val="single" w:color="C9C7DD" w:sz="1"/>
              <w:bottom w:val="single" w:color="C9C7DD" w:sz="1"/>
              <w:right w:val="single" w:color="C9C7DD" w:sz="1"/>
            </w:tcBorders>
            <w:shd w:fill="ECEAF6" w:color="auto" w:val="clear"/>
            <w:tcMar>
              <w:top w:type="dxa" w:w="70"/>
              <w:left w:type="dxa" w:w="110"/>
              <w:bottom w:type="dxa" w:w="70"/>
              <w:right w:type="dxa" w:w="110"/>
            </w:tcMar>
            <w:vAlign w:val="center"/>
          </w:tcPr>
          <w:p>
            <w:pPr>
              <w:spacing w:after="0" w:line="264"/>
            </w:pPr>
            <w:r>
              <w:rPr>
                <w:rFonts w:ascii="Calibri" w:cs="Calibri" w:eastAsia="Calibri" w:hAnsi="Calibri"/>
                <w:b/>
                <w:bCs/>
                <w:color w:val="2E2A5E"/>
                <w:sz w:val="20"/>
                <w:szCs w:val="20"/>
              </w:rPr>
              <w:t xml:space="preserve">Why it matters</w:t>
            </w:r>
          </w:p>
        </w:tc>
      </w:tr>
      <w:tr>
        <w:tc>
          <w:tcPr>
            <w:tcW w:type="dxa" w:w="1500"/>
            <w:tcBorders>
              <w:top w:val="single" w:color="C9C7DD" w:sz="1"/>
              <w:left w:val="single" w:color="C9C7DD" w:sz="1"/>
              <w:bottom w:val="single" w:color="C9C7DD" w:sz="1"/>
              <w:right w:val="single" w:color="C9C7DD" w:sz="1"/>
            </w:tcBorders>
            <w:tcMar>
              <w:top w:type="dxa" w:w="70"/>
              <w:left w:type="dxa" w:w="110"/>
              <w:bottom w:type="dxa" w:w="70"/>
              <w:right w:type="dxa" w:w="110"/>
            </w:tcMar>
            <w:vAlign w:val="center"/>
          </w:tcPr>
          <w:p>
            <w:pPr>
              <w:spacing w:after="0"/>
            </w:pPr>
            <w:r>
              <w:rPr>
                <w:rFonts w:ascii="Calibri" w:cs="Calibri" w:eastAsia="Calibri" w:hAnsi="Calibri"/>
                <w:b/>
                <w:bCs/>
                <w:color w:val="C2410C"/>
                <w:sz w:val="20"/>
                <w:szCs w:val="20"/>
              </w:rPr>
              <w:t xml:space="preserve">High</w:t>
            </w:r>
          </w:p>
        </w:tc>
        <w:tc>
          <w:tcPr>
            <w:tcW w:type="dxa" w:w="4500"/>
            <w:tcBorders>
              <w:top w:val="single" w:color="C9C7DD" w:sz="1"/>
              <w:left w:val="single" w:color="C9C7DD" w:sz="1"/>
              <w:bottom w:val="single" w:color="C9C7DD" w:sz="1"/>
              <w:right w:val="single" w:color="C9C7DD" w:sz="1"/>
            </w:tcBorders>
            <w:tcMar>
              <w:top w:type="dxa" w:w="70"/>
              <w:left w:type="dxa" w:w="110"/>
              <w:bottom w:type="dxa" w:w="70"/>
              <w:right w:type="dxa" w:w="110"/>
            </w:tcMar>
            <w:vAlign w:val="center"/>
          </w:tcPr>
          <w:p>
            <w:pPr>
              <w:spacing w:after="0" w:line="264"/>
            </w:pPr>
            <w:r>
              <w:rPr>
                <w:rFonts w:ascii="Calibri" w:cs="Calibri" w:eastAsia="Calibri" w:hAnsi="Calibri"/>
                <w:b/>
                <w:bCs/>
                <w:color w:val="1A1A2E"/>
                <w:sz w:val="20"/>
                <w:szCs w:val="20"/>
              </w:rPr>
              <w:t xml:space="preserve">Homepage “Our Picks” uses hardcoded mock data</w:t>
            </w:r>
          </w:p>
          <w:p>
            <w:pPr>
              <w:spacing w:after="0" w:before="30" w:line="264"/>
            </w:pPr>
            <w:r>
              <w:rPr>
                <w:rFonts w:ascii="Calibri" w:cs="Calibri" w:eastAsia="Calibri" w:hAnsi="Calibri"/>
                <w:color w:val="6B7280"/>
                <w:sz w:val="19"/>
                <w:szCs w:val="19"/>
              </w:rPr>
              <w:t xml:space="preserve">The featured grid renders six static items (e.g. “Obsidian Core Ring”) from a mockProducts file, while the live catalog contains different products (e.g. “Lumière Eternity”). The cards link to /product/{mockId}.</w:t>
            </w:r>
          </w:p>
        </w:tc>
        <w:tc>
          <w:tcPr>
            <w:tcW w:type="dxa" w:w="3360"/>
            <w:tcBorders>
              <w:top w:val="single" w:color="C9C7DD" w:sz="1"/>
              <w:left w:val="single" w:color="C9C7DD" w:sz="1"/>
              <w:bottom w:val="single" w:color="C9C7DD" w:sz="1"/>
              <w:right w:val="single" w:color="C9C7DD" w:sz="1"/>
            </w:tcBorders>
            <w:tcMar>
              <w:top w:type="dxa" w:w="70"/>
              <w:left w:type="dxa" w:w="110"/>
              <w:bottom w:type="dxa" w:w="70"/>
              <w:right w:type="dxa" w:w="110"/>
            </w:tcMar>
            <w:vAlign w:val="center"/>
          </w:tcPr>
          <w:p>
            <w:pPr>
              <w:spacing w:after="0" w:line="264"/>
            </w:pPr>
            <w:r>
              <w:rPr>
                <w:rFonts w:ascii="Calibri" w:cs="Calibri" w:eastAsia="Calibri" w:hAnsi="Calibri"/>
                <w:b w:val="false"/>
                <w:bCs w:val="false"/>
                <w:color w:val="1A1A2E"/>
                <w:sz w:val="19"/>
                <w:szCs w:val="19"/>
              </w:rPr>
              <w:t xml:space="preserve">Featured products can mismatch the real store and link to IDs that may not exist, producing “product not found” dead‑ends and an inconsistent first impression.</w:t>
            </w:r>
          </w:p>
        </w:tc>
      </w:tr>
      <w:tr>
        <w:tc>
          <w:tcPr>
            <w:tcW w:type="dxa" w:w="1500"/>
            <w:tcBorders>
              <w:top w:val="single" w:color="C9C7DD" w:sz="1"/>
              <w:left w:val="single" w:color="C9C7DD" w:sz="1"/>
              <w:bottom w:val="single" w:color="C9C7DD" w:sz="1"/>
              <w:right w:val="single" w:color="C9C7DD" w:sz="1"/>
            </w:tcBorders>
            <w:shd w:fill="F7F6FB" w:color="auto" w:val="clear"/>
            <w:tcMar>
              <w:top w:type="dxa" w:w="70"/>
              <w:left w:type="dxa" w:w="110"/>
              <w:bottom w:type="dxa" w:w="70"/>
              <w:right w:type="dxa" w:w="110"/>
            </w:tcMar>
            <w:vAlign w:val="center"/>
          </w:tcPr>
          <w:p>
            <w:pPr>
              <w:spacing w:after="0"/>
            </w:pPr>
            <w:r>
              <w:rPr>
                <w:rFonts w:ascii="Calibri" w:cs="Calibri" w:eastAsia="Calibri" w:hAnsi="Calibri"/>
                <w:b/>
                <w:bCs/>
                <w:color w:val="B45309"/>
                <w:sz w:val="20"/>
                <w:szCs w:val="20"/>
              </w:rPr>
              <w:t xml:space="preserve">Medium</w:t>
            </w:r>
          </w:p>
        </w:tc>
        <w:tc>
          <w:tcPr>
            <w:tcW w:type="dxa" w:w="4500"/>
            <w:tcBorders>
              <w:top w:val="single" w:color="C9C7DD" w:sz="1"/>
              <w:left w:val="single" w:color="C9C7DD" w:sz="1"/>
              <w:bottom w:val="single" w:color="C9C7DD" w:sz="1"/>
              <w:right w:val="single" w:color="C9C7DD" w:sz="1"/>
            </w:tcBorders>
            <w:shd w:fill="F7F6FB" w:color="auto" w:val="clear"/>
            <w:tcMar>
              <w:top w:type="dxa" w:w="70"/>
              <w:left w:type="dxa" w:w="110"/>
              <w:bottom w:type="dxa" w:w="70"/>
              <w:right w:type="dxa" w:w="110"/>
            </w:tcMar>
            <w:vAlign w:val="center"/>
          </w:tcPr>
          <w:p>
            <w:pPr>
              <w:spacing w:after="0" w:line="264"/>
            </w:pPr>
            <w:r>
              <w:rPr>
                <w:rFonts w:ascii="Calibri" w:cs="Calibri" w:eastAsia="Calibri" w:hAnsi="Calibri"/>
                <w:b/>
                <w:bCs/>
                <w:color w:val="1A1A2E"/>
                <w:sz w:val="20"/>
                <w:szCs w:val="20"/>
              </w:rPr>
              <w:t xml:space="preserve">Mock items hotlink Unsplash images</w:t>
            </w:r>
          </w:p>
          <w:p>
            <w:pPr>
              <w:spacing w:after="0" w:before="30" w:line="264"/>
            </w:pPr>
            <w:r>
              <w:rPr>
                <w:rFonts w:ascii="Calibri" w:cs="Calibri" w:eastAsia="Calibri" w:hAnsi="Calibri"/>
                <w:color w:val="6B7280"/>
                <w:sz w:val="19"/>
                <w:szCs w:val="19"/>
              </w:rPr>
              <w:t xml:space="preserve">Several mock products reference images.unsplash.com URLs rather than owned assets.</w:t>
            </w:r>
          </w:p>
        </w:tc>
        <w:tc>
          <w:tcPr>
            <w:tcW w:type="dxa" w:w="3360"/>
            <w:tcBorders>
              <w:top w:val="single" w:color="C9C7DD" w:sz="1"/>
              <w:left w:val="single" w:color="C9C7DD" w:sz="1"/>
              <w:bottom w:val="single" w:color="C9C7DD" w:sz="1"/>
              <w:right w:val="single" w:color="C9C7DD" w:sz="1"/>
            </w:tcBorders>
            <w:shd w:fill="F7F6FB" w:color="auto" w:val="clear"/>
            <w:tcMar>
              <w:top w:type="dxa" w:w="70"/>
              <w:left w:type="dxa" w:w="110"/>
              <w:bottom w:type="dxa" w:w="70"/>
              <w:right w:type="dxa" w:w="110"/>
            </w:tcMar>
            <w:vAlign w:val="center"/>
          </w:tcPr>
          <w:p>
            <w:pPr>
              <w:spacing w:after="0" w:line="264"/>
            </w:pPr>
            <w:r>
              <w:rPr>
                <w:rFonts w:ascii="Calibri" w:cs="Calibri" w:eastAsia="Calibri" w:hAnsi="Calibri"/>
                <w:b w:val="false"/>
                <w:bCs w:val="false"/>
                <w:color w:val="1A1A2E"/>
                <w:sz w:val="19"/>
                <w:szCs w:val="19"/>
              </w:rPr>
              <w:t xml:space="preserve">Third‑party images can change or disappear and aren’t brand‑controlled; they also carry thinner descriptions than the database equivalents.</w:t>
            </w:r>
          </w:p>
        </w:tc>
      </w:tr>
      <w:tr>
        <w:tc>
          <w:tcPr>
            <w:tcW w:type="dxa" w:w="1500"/>
            <w:tcBorders>
              <w:top w:val="single" w:color="C9C7DD" w:sz="1"/>
              <w:left w:val="single" w:color="C9C7DD" w:sz="1"/>
              <w:bottom w:val="single" w:color="C9C7DD" w:sz="1"/>
              <w:right w:val="single" w:color="C9C7DD" w:sz="1"/>
            </w:tcBorders>
            <w:tcMar>
              <w:top w:type="dxa" w:w="70"/>
              <w:left w:type="dxa" w:w="110"/>
              <w:bottom w:type="dxa" w:w="70"/>
              <w:right w:type="dxa" w:w="110"/>
            </w:tcMar>
            <w:vAlign w:val="center"/>
          </w:tcPr>
          <w:p>
            <w:pPr>
              <w:spacing w:after="0"/>
            </w:pPr>
            <w:r>
              <w:rPr>
                <w:rFonts w:ascii="Calibri" w:cs="Calibri" w:eastAsia="Calibri" w:hAnsi="Calibri"/>
                <w:b/>
                <w:bCs/>
                <w:color w:val="4B5563"/>
                <w:sz w:val="20"/>
                <w:szCs w:val="20"/>
              </w:rPr>
              <w:t xml:space="preserve">Low</w:t>
            </w:r>
          </w:p>
        </w:tc>
        <w:tc>
          <w:tcPr>
            <w:tcW w:type="dxa" w:w="4500"/>
            <w:tcBorders>
              <w:top w:val="single" w:color="C9C7DD" w:sz="1"/>
              <w:left w:val="single" w:color="C9C7DD" w:sz="1"/>
              <w:bottom w:val="single" w:color="C9C7DD" w:sz="1"/>
              <w:right w:val="single" w:color="C9C7DD" w:sz="1"/>
            </w:tcBorders>
            <w:tcMar>
              <w:top w:type="dxa" w:w="70"/>
              <w:left w:type="dxa" w:w="110"/>
              <w:bottom w:type="dxa" w:w="70"/>
              <w:right w:type="dxa" w:w="110"/>
            </w:tcMar>
            <w:vAlign w:val="center"/>
          </w:tcPr>
          <w:p>
            <w:pPr>
              <w:spacing w:after="0" w:line="264"/>
            </w:pPr>
            <w:r>
              <w:rPr>
                <w:rFonts w:ascii="Calibri" w:cs="Calibri" w:eastAsia="Calibri" w:hAnsi="Calibri"/>
                <w:b/>
                <w:bCs/>
                <w:color w:val="1A1A2E"/>
                <w:sz w:val="20"/>
                <w:szCs w:val="20"/>
              </w:rPr>
              <w:t xml:space="preserve">Anonymous reviews shown as “Verified Customer”; default 5 stars</w:t>
            </w:r>
          </w:p>
          <w:p>
            <w:pPr>
              <w:spacing w:after="0" w:before="30" w:line="264"/>
            </w:pPr>
            <w:r>
              <w:rPr>
                <w:rFonts w:ascii="Calibri" w:cs="Calibri" w:eastAsia="Calibri" w:hAnsi="Calibri"/>
                <w:color w:val="6B7280"/>
                <w:sz w:val="19"/>
                <w:szCs w:val="19"/>
              </w:rPr>
              <w:t xml:space="preserve">Unauthenticated reviews are attributed to “Verified Customer”, and unrated products display a 5‑star summary with “Be the first to review”.</w:t>
            </w:r>
          </w:p>
        </w:tc>
        <w:tc>
          <w:tcPr>
            <w:tcW w:type="dxa" w:w="3360"/>
            <w:tcBorders>
              <w:top w:val="single" w:color="C9C7DD" w:sz="1"/>
              <w:left w:val="single" w:color="C9C7DD" w:sz="1"/>
              <w:bottom w:val="single" w:color="C9C7DD" w:sz="1"/>
              <w:right w:val="single" w:color="C9C7DD" w:sz="1"/>
            </w:tcBorders>
            <w:tcMar>
              <w:top w:type="dxa" w:w="70"/>
              <w:left w:type="dxa" w:w="110"/>
              <w:bottom w:type="dxa" w:w="70"/>
              <w:right w:type="dxa" w:w="110"/>
            </w:tcMar>
            <w:vAlign w:val="center"/>
          </w:tcPr>
          <w:p>
            <w:pPr>
              <w:spacing w:after="0" w:line="264"/>
            </w:pPr>
            <w:r>
              <w:rPr>
                <w:rFonts w:ascii="Calibri" w:cs="Calibri" w:eastAsia="Calibri" w:hAnsi="Calibri"/>
                <w:b w:val="false"/>
                <w:bCs w:val="false"/>
                <w:color w:val="1A1A2E"/>
                <w:sz w:val="19"/>
                <w:szCs w:val="19"/>
              </w:rPr>
              <w:t xml:space="preserve">Mildly misleading trust signals.</w:t>
            </w:r>
          </w:p>
        </w:tc>
      </w:tr>
      <w:tr>
        <w:tc>
          <w:tcPr>
            <w:tcW w:type="dxa" w:w="1500"/>
            <w:tcBorders>
              <w:top w:val="single" w:color="C9C7DD" w:sz="1"/>
              <w:left w:val="single" w:color="C9C7DD" w:sz="1"/>
              <w:bottom w:val="single" w:color="C9C7DD" w:sz="1"/>
              <w:right w:val="single" w:color="C9C7DD" w:sz="1"/>
            </w:tcBorders>
            <w:shd w:fill="F7F6FB" w:color="auto" w:val="clear"/>
            <w:tcMar>
              <w:top w:type="dxa" w:w="70"/>
              <w:left w:type="dxa" w:w="110"/>
              <w:bottom w:type="dxa" w:w="70"/>
              <w:right w:type="dxa" w:w="110"/>
            </w:tcMar>
            <w:vAlign w:val="center"/>
          </w:tcPr>
          <w:p>
            <w:pPr>
              <w:spacing w:after="0"/>
            </w:pPr>
            <w:r>
              <w:rPr>
                <w:rFonts w:ascii="Calibri" w:cs="Calibri" w:eastAsia="Calibri" w:hAnsi="Calibri"/>
                <w:b/>
                <w:bCs/>
                <w:color w:val="4B5563"/>
                <w:sz w:val="20"/>
                <w:szCs w:val="20"/>
              </w:rPr>
              <w:t xml:space="preserve">Low</w:t>
            </w:r>
          </w:p>
        </w:tc>
        <w:tc>
          <w:tcPr>
            <w:tcW w:type="dxa" w:w="4500"/>
            <w:tcBorders>
              <w:top w:val="single" w:color="C9C7DD" w:sz="1"/>
              <w:left w:val="single" w:color="C9C7DD" w:sz="1"/>
              <w:bottom w:val="single" w:color="C9C7DD" w:sz="1"/>
              <w:right w:val="single" w:color="C9C7DD" w:sz="1"/>
            </w:tcBorders>
            <w:shd w:fill="F7F6FB" w:color="auto" w:val="clear"/>
            <w:tcMar>
              <w:top w:type="dxa" w:w="70"/>
              <w:left w:type="dxa" w:w="110"/>
              <w:bottom w:type="dxa" w:w="70"/>
              <w:right w:type="dxa" w:w="110"/>
            </w:tcMar>
            <w:vAlign w:val="center"/>
          </w:tcPr>
          <w:p>
            <w:pPr>
              <w:spacing w:after="0" w:line="264"/>
            </w:pPr>
            <w:r>
              <w:rPr>
                <w:rFonts w:ascii="Calibri" w:cs="Calibri" w:eastAsia="Calibri" w:hAnsi="Calibri"/>
                <w:b/>
                <w:bCs/>
                <w:color w:val="1A1A2E"/>
                <w:sz w:val="20"/>
                <w:szCs w:val="20"/>
              </w:rPr>
              <w:t xml:space="preserve">Privacy Policy cookie claim is inaccurate</w:t>
            </w:r>
          </w:p>
          <w:p>
            <w:pPr>
              <w:spacing w:after="0" w:before="30" w:line="264"/>
            </w:pPr>
            <w:r>
              <w:rPr>
                <w:rFonts w:ascii="Calibri" w:cs="Calibri" w:eastAsia="Calibri" w:hAnsi="Calibri"/>
                <w:color w:val="6B7280"/>
                <w:sz w:val="19"/>
                <w:szCs w:val="19"/>
              </w:rPr>
              <w:t xml:space="preserve">It states essential cookies keep you logged in, but sessions are stored in localStorage (JWT); Google/Twilio data handling isn’t mentioned.</w:t>
            </w:r>
          </w:p>
        </w:tc>
        <w:tc>
          <w:tcPr>
            <w:tcW w:type="dxa" w:w="3360"/>
            <w:tcBorders>
              <w:top w:val="single" w:color="C9C7DD" w:sz="1"/>
              <w:left w:val="single" w:color="C9C7DD" w:sz="1"/>
              <w:bottom w:val="single" w:color="C9C7DD" w:sz="1"/>
              <w:right w:val="single" w:color="C9C7DD" w:sz="1"/>
            </w:tcBorders>
            <w:shd w:fill="F7F6FB" w:color="auto" w:val="clear"/>
            <w:tcMar>
              <w:top w:type="dxa" w:w="70"/>
              <w:left w:type="dxa" w:w="110"/>
              <w:bottom w:type="dxa" w:w="70"/>
              <w:right w:type="dxa" w:w="110"/>
            </w:tcMar>
            <w:vAlign w:val="center"/>
          </w:tcPr>
          <w:p>
            <w:pPr>
              <w:spacing w:after="0" w:line="264"/>
            </w:pPr>
            <w:r>
              <w:rPr>
                <w:rFonts w:ascii="Calibri" w:cs="Calibri" w:eastAsia="Calibri" w:hAnsi="Calibri"/>
                <w:b w:val="false"/>
                <w:bCs w:val="false"/>
                <w:color w:val="1A1A2E"/>
                <w:sz w:val="19"/>
                <w:szCs w:val="19"/>
              </w:rPr>
              <w:t xml:space="preserve">A small factual mismatch in a compliance‑sensitive document.</w:t>
            </w:r>
          </w:p>
        </w:tc>
      </w:tr>
      <w:tr>
        <w:tc>
          <w:tcPr>
            <w:tcW w:type="dxa" w:w="1500"/>
            <w:tcBorders>
              <w:top w:val="single" w:color="C9C7DD" w:sz="1"/>
              <w:left w:val="single" w:color="C9C7DD" w:sz="1"/>
              <w:bottom w:val="single" w:color="C9C7DD" w:sz="1"/>
              <w:right w:val="single" w:color="C9C7DD" w:sz="1"/>
            </w:tcBorders>
            <w:tcMar>
              <w:top w:type="dxa" w:w="70"/>
              <w:left w:type="dxa" w:w="110"/>
              <w:bottom w:type="dxa" w:w="70"/>
              <w:right w:type="dxa" w:w="110"/>
            </w:tcMar>
            <w:vAlign w:val="center"/>
          </w:tcPr>
          <w:p>
            <w:pPr>
              <w:spacing w:after="0"/>
            </w:pPr>
            <w:r>
              <w:rPr>
                <w:rFonts w:ascii="Calibri" w:cs="Calibri" w:eastAsia="Calibri" w:hAnsi="Calibri"/>
                <w:b/>
                <w:bCs/>
                <w:color w:val="4B5563"/>
                <w:sz w:val="20"/>
                <w:szCs w:val="20"/>
              </w:rPr>
              <w:t xml:space="preserve">Low</w:t>
            </w:r>
          </w:p>
        </w:tc>
        <w:tc>
          <w:tcPr>
            <w:tcW w:type="dxa" w:w="4500"/>
            <w:tcBorders>
              <w:top w:val="single" w:color="C9C7DD" w:sz="1"/>
              <w:left w:val="single" w:color="C9C7DD" w:sz="1"/>
              <w:bottom w:val="single" w:color="C9C7DD" w:sz="1"/>
              <w:right w:val="single" w:color="C9C7DD" w:sz="1"/>
            </w:tcBorders>
            <w:tcMar>
              <w:top w:type="dxa" w:w="70"/>
              <w:left w:type="dxa" w:w="110"/>
              <w:bottom w:type="dxa" w:w="70"/>
              <w:right w:type="dxa" w:w="110"/>
            </w:tcMar>
            <w:vAlign w:val="center"/>
          </w:tcPr>
          <w:p>
            <w:pPr>
              <w:spacing w:after="0" w:line="264"/>
            </w:pPr>
            <w:r>
              <w:rPr>
                <w:rFonts w:ascii="Calibri" w:cs="Calibri" w:eastAsia="Calibri" w:hAnsi="Calibri"/>
                <w:b/>
                <w:bCs/>
                <w:color w:val="1A1A2E"/>
                <w:sz w:val="20"/>
                <w:szCs w:val="20"/>
              </w:rPr>
              <w:t xml:space="preserve">Default Vite template README remains</w:t>
            </w:r>
          </w:p>
          <w:p>
            <w:pPr>
              <w:spacing w:after="0" w:before="30" w:line="264"/>
            </w:pPr>
            <w:r>
              <w:rPr>
                <w:rFonts w:ascii="Calibri" w:cs="Calibri" w:eastAsia="Calibri" w:hAnsi="Calibri"/>
                <w:color w:val="6B7280"/>
                <w:sz w:val="19"/>
                <w:szCs w:val="19"/>
              </w:rPr>
              <w:t xml:space="preserve">The repository README is still the boilerplate “React + Vite” template.</w:t>
            </w:r>
          </w:p>
        </w:tc>
        <w:tc>
          <w:tcPr>
            <w:tcW w:type="dxa" w:w="3360"/>
            <w:tcBorders>
              <w:top w:val="single" w:color="C9C7DD" w:sz="1"/>
              <w:left w:val="single" w:color="C9C7DD" w:sz="1"/>
              <w:bottom w:val="single" w:color="C9C7DD" w:sz="1"/>
              <w:right w:val="single" w:color="C9C7DD" w:sz="1"/>
            </w:tcBorders>
            <w:tcMar>
              <w:top w:type="dxa" w:w="70"/>
              <w:left w:type="dxa" w:w="110"/>
              <w:bottom w:type="dxa" w:w="70"/>
              <w:right w:type="dxa" w:w="110"/>
            </w:tcMar>
            <w:vAlign w:val="center"/>
          </w:tcPr>
          <w:p>
            <w:pPr>
              <w:spacing w:after="0" w:line="264"/>
            </w:pPr>
            <w:r>
              <w:rPr>
                <w:rFonts w:ascii="Calibri" w:cs="Calibri" w:eastAsia="Calibri" w:hAnsi="Calibri"/>
                <w:b w:val="false"/>
                <w:bCs w:val="false"/>
                <w:color w:val="1A1A2E"/>
                <w:sz w:val="19"/>
                <w:szCs w:val="19"/>
              </w:rPr>
              <w:t xml:space="preserve">No real project documentation for collaborators or future maintainers.</w:t>
            </w:r>
          </w:p>
        </w:tc>
      </w:tr>
      <w:tr>
        <w:tc>
          <w:tcPr>
            <w:tcW w:type="dxa" w:w="1500"/>
            <w:tcBorders>
              <w:top w:val="single" w:color="C9C7DD" w:sz="1"/>
              <w:left w:val="single" w:color="C9C7DD" w:sz="1"/>
              <w:bottom w:val="single" w:color="C9C7DD" w:sz="1"/>
              <w:right w:val="single" w:color="C9C7DD" w:sz="1"/>
            </w:tcBorders>
            <w:shd w:fill="F7F6FB" w:color="auto" w:val="clear"/>
            <w:tcMar>
              <w:top w:type="dxa" w:w="70"/>
              <w:left w:type="dxa" w:w="110"/>
              <w:bottom w:type="dxa" w:w="70"/>
              <w:right w:type="dxa" w:w="110"/>
            </w:tcMar>
            <w:vAlign w:val="center"/>
          </w:tcPr>
          <w:p>
            <w:pPr>
              <w:spacing w:after="0"/>
            </w:pPr>
            <w:r>
              <w:rPr>
                <w:rFonts w:ascii="Calibri" w:cs="Calibri" w:eastAsia="Calibri" w:hAnsi="Calibri"/>
                <w:b/>
                <w:bCs/>
                <w:color w:val="15803D"/>
                <w:sz w:val="20"/>
                <w:szCs w:val="20"/>
              </w:rPr>
              <w:t xml:space="preserve">Positive</w:t>
            </w:r>
          </w:p>
        </w:tc>
        <w:tc>
          <w:tcPr>
            <w:tcW w:type="dxa" w:w="4500"/>
            <w:tcBorders>
              <w:top w:val="single" w:color="C9C7DD" w:sz="1"/>
              <w:left w:val="single" w:color="C9C7DD" w:sz="1"/>
              <w:bottom w:val="single" w:color="C9C7DD" w:sz="1"/>
              <w:right w:val="single" w:color="C9C7DD" w:sz="1"/>
            </w:tcBorders>
            <w:shd w:fill="F7F6FB" w:color="auto" w:val="clear"/>
            <w:tcMar>
              <w:top w:type="dxa" w:w="70"/>
              <w:left w:type="dxa" w:w="110"/>
              <w:bottom w:type="dxa" w:w="70"/>
              <w:right w:type="dxa" w:w="110"/>
            </w:tcMar>
            <w:vAlign w:val="center"/>
          </w:tcPr>
          <w:p>
            <w:pPr>
              <w:spacing w:after="0" w:line="264"/>
            </w:pPr>
            <w:r>
              <w:rPr>
                <w:rFonts w:ascii="Calibri" w:cs="Calibri" w:eastAsia="Calibri" w:hAnsi="Calibri"/>
                <w:b/>
                <w:bCs/>
                <w:color w:val="1A1A2E"/>
                <w:sz w:val="20"/>
                <w:szCs w:val="20"/>
              </w:rPr>
              <w:t xml:space="preserve">Strong brand voice &amp; complete legal/support pages</w:t>
            </w:r>
          </w:p>
          <w:p>
            <w:pPr>
              <w:spacing w:after="0" w:before="30" w:line="264"/>
            </w:pPr>
            <w:r>
              <w:rPr>
                <w:rFonts w:ascii="Calibri" w:cs="Calibri" w:eastAsia="Calibri" w:hAnsi="Calibri"/>
                <w:color w:val="6B7280"/>
                <w:sz w:val="19"/>
                <w:szCs w:val="19"/>
              </w:rPr>
              <w:t xml:space="preserve">Consistent tone, accurate Stripe/PCI statements, and a single consistent contact address (hello@selestial.com).</w:t>
            </w:r>
          </w:p>
        </w:tc>
        <w:tc>
          <w:tcPr>
            <w:tcW w:type="dxa" w:w="3360"/>
            <w:tcBorders>
              <w:top w:val="single" w:color="C9C7DD" w:sz="1"/>
              <w:left w:val="single" w:color="C9C7DD" w:sz="1"/>
              <w:bottom w:val="single" w:color="C9C7DD" w:sz="1"/>
              <w:right w:val="single" w:color="C9C7DD" w:sz="1"/>
            </w:tcBorders>
            <w:shd w:fill="F7F6FB" w:color="auto" w:val="clear"/>
            <w:tcMar>
              <w:top w:type="dxa" w:w="70"/>
              <w:left w:type="dxa" w:w="110"/>
              <w:bottom w:type="dxa" w:w="70"/>
              <w:right w:type="dxa" w:w="110"/>
            </w:tcMar>
            <w:vAlign w:val="center"/>
          </w:tcPr>
          <w:p>
            <w:pPr>
              <w:spacing w:after="0" w:line="264"/>
            </w:pPr>
            <w:r>
              <w:rPr>
                <w:rFonts w:ascii="Calibri" w:cs="Calibri" w:eastAsia="Calibri" w:hAnsi="Calibri"/>
                <w:b w:val="false"/>
                <w:bCs w:val="false"/>
                <w:color w:val="1A1A2E"/>
                <w:sz w:val="19"/>
                <w:szCs w:val="19"/>
              </w:rPr>
              <w:t xml:space="preserve">Raises perceived quality and trust; a solid content foundation to build on.</w:t>
            </w:r>
          </w:p>
        </w:tc>
      </w:tr>
    </w:tbl>
    <w:p>
      <w:pPr>
        <w:pStyle w:val="Heading1"/>
        <w:pBdr>
          <w:bottom w:val="single" w:color="6D5BD0" w:sz="10" w:space="4"/>
        </w:pBdr>
        <w:spacing w:after="140" w:before="320"/>
      </w:pPr>
      <w:r>
        <w:rPr>
          <w:rFonts w:ascii="Calibri" w:cs="Calibri" w:eastAsia="Calibri" w:hAnsi="Calibri"/>
          <w:b/>
          <w:bCs/>
          <w:color w:val="2E2A5E"/>
          <w:sz w:val="30"/>
          <w:szCs w:val="30"/>
        </w:rPr>
        <w:t xml:space="preserve">5. SEO / AEO / GEO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7DD" w:sz="1"/>
              <w:left w:val="single" w:color="B00020" w:sz="18"/>
              <w:bottom w:val="single" w:color="C9C7DD" w:sz="1"/>
              <w:right w:val="single" w:color="C9C7DD" w:sz="1"/>
            </w:tcBorders>
            <w:shd w:fill="ECEAF6" w:color="auto" w:val="clear"/>
            <w:tcMar>
              <w:top w:type="dxa" w:w="90"/>
              <w:left w:type="dxa" w:w="160"/>
              <w:bottom w:type="dxa" w:w="90"/>
              <w:right w:type="dxa" w:w="120"/>
            </w:tcMar>
            <w:vAlign w:val="center"/>
          </w:tcPr>
          <w:p>
            <w:pPr>
              <w:spacing w:after="0"/>
            </w:pPr>
            <w:r>
              <w:rPr>
                <w:rFonts w:ascii="Calibri" w:cs="Calibri" w:eastAsia="Calibri" w:hAnsi="Calibri"/>
                <w:b/>
                <w:bCs/>
                <w:color w:val="2E2A5E"/>
                <w:sz w:val="24"/>
                <w:szCs w:val="24"/>
              </w:rPr>
              <w:t xml:space="preserve">SEO / AEO / GEO Score:  </w:t>
            </w:r>
            <w:r>
              <w:rPr>
                <w:rFonts w:ascii="Calibri" w:cs="Calibri" w:eastAsia="Calibri" w:hAnsi="Calibri"/>
                <w:b/>
                <w:bCs/>
                <w:color w:val="B00020"/>
                <w:sz w:val="24"/>
                <w:szCs w:val="24"/>
              </w:rPr>
              <w:t xml:space="preserve">3 / 10</w:t>
            </w:r>
          </w:p>
        </w:tc>
      </w:tr>
    </w:tbl>
    <w:p>
      <w:pPr>
        <w:spacing w:after="120" w:before="0" w:line="276"/>
      </w:pPr>
      <w:r>
        <w:rPr>
          <w:rFonts w:ascii="Calibri" w:cs="Calibri" w:eastAsia="Calibri" w:hAnsi="Calibri"/>
          <w:b w:val="false"/>
          <w:bCs w:val="false"/>
          <w:i w:val="false"/>
          <w:iCs w:val="false"/>
          <w:color w:val="1A1A2E"/>
          <w:sz w:val="22"/>
          <w:szCs w:val="22"/>
        </w:rPr>
        <w:t xml:space="preserve">The intent here is genuinely good — and that makes the execution failures more frustrating. In the source you’ll find per‑page metadata via Helmet, Open Graph and Twitter cards, Organization and WebSite JSON‑LD (with a SearchAction), Product JSON‑LD carrying price and availability, semantic headings, responsive images with srcset/sizes/lazy‑loading, font preconnects, and a robots.txt that disallows admin and API paths. Unfortunately, live verification showed that the metadata layer does not render correctly and that the canonical strategy points at the wrong site. For answer‑engine (AEO) and generative‑engine (GEO) optimization the picture is weaker still, because the app is client‑rendered only. The score is a 3: the building blocks exist, but in production they are largely broken or misdirected.</w:t>
      </w:r>
    </w:p>
    <w:p>
      <w:pPr>
        <w:pStyle w:val="Heading2"/>
        <w:spacing w:after="90" w:before="220"/>
      </w:pPr>
      <w:r>
        <w:rPr>
          <w:rFonts w:ascii="Calibri" w:cs="Calibri" w:eastAsia="Calibri" w:hAnsi="Calibri"/>
          <w:b/>
          <w:bCs/>
          <w:color w:val="2E2A5E"/>
          <w:sz w:val="24"/>
          <w:szCs w:val="24"/>
        </w:rPr>
        <w:t xml:space="preserve">5.1 Findings (verified on the live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3360"/>
      </w:tblGrid>
      <w:tr>
        <w:trPr>
          <w:tblHeader/>
        </w:trPr>
        <w:tc>
          <w:tcPr>
            <w:tcW w:type="dxa" w:w="1500"/>
            <w:tcBorders>
              <w:top w:val="single" w:color="C9C7DD" w:sz="1"/>
              <w:left w:val="single" w:color="C9C7DD" w:sz="1"/>
              <w:bottom w:val="single" w:color="C9C7DD" w:sz="1"/>
              <w:right w:val="single" w:color="C9C7DD" w:sz="1"/>
            </w:tcBorders>
            <w:shd w:fill="ECEAF6" w:color="auto" w:val="clear"/>
            <w:tcMar>
              <w:top w:type="dxa" w:w="70"/>
              <w:left w:type="dxa" w:w="110"/>
              <w:bottom w:type="dxa" w:w="70"/>
              <w:right w:type="dxa" w:w="110"/>
            </w:tcMar>
            <w:vAlign w:val="center"/>
          </w:tcPr>
          <w:p>
            <w:pPr>
              <w:spacing w:after="0" w:line="264"/>
            </w:pPr>
            <w:r>
              <w:rPr>
                <w:rFonts w:ascii="Calibri" w:cs="Calibri" w:eastAsia="Calibri" w:hAnsi="Calibri"/>
                <w:b/>
                <w:bCs/>
                <w:color w:val="2E2A5E"/>
                <w:sz w:val="20"/>
                <w:szCs w:val="20"/>
              </w:rPr>
              <w:t xml:space="preserve">Severity</w:t>
            </w:r>
          </w:p>
        </w:tc>
        <w:tc>
          <w:tcPr>
            <w:tcW w:type="dxa" w:w="4500"/>
            <w:tcBorders>
              <w:top w:val="single" w:color="C9C7DD" w:sz="1"/>
              <w:left w:val="single" w:color="C9C7DD" w:sz="1"/>
              <w:bottom w:val="single" w:color="C9C7DD" w:sz="1"/>
              <w:right w:val="single" w:color="C9C7DD" w:sz="1"/>
            </w:tcBorders>
            <w:shd w:fill="ECEAF6" w:color="auto" w:val="clear"/>
            <w:tcMar>
              <w:top w:type="dxa" w:w="70"/>
              <w:left w:type="dxa" w:w="110"/>
              <w:bottom w:type="dxa" w:w="70"/>
              <w:right w:type="dxa" w:w="110"/>
            </w:tcMar>
            <w:vAlign w:val="center"/>
          </w:tcPr>
          <w:p>
            <w:pPr>
              <w:spacing w:after="0" w:line="264"/>
            </w:pPr>
            <w:r>
              <w:rPr>
                <w:rFonts w:ascii="Calibri" w:cs="Calibri" w:eastAsia="Calibri" w:hAnsi="Calibri"/>
                <w:b/>
                <w:bCs/>
                <w:color w:val="2E2A5E"/>
                <w:sz w:val="20"/>
                <w:szCs w:val="20"/>
              </w:rPr>
              <w:t xml:space="preserve">Finding</w:t>
            </w:r>
          </w:p>
        </w:tc>
        <w:tc>
          <w:tcPr>
            <w:tcW w:type="dxa" w:w="3360"/>
            <w:tcBorders>
              <w:top w:val="single" w:color="C9C7DD" w:sz="1"/>
              <w:left w:val="single" w:color="C9C7DD" w:sz="1"/>
              <w:bottom w:val="single" w:color="C9C7DD" w:sz="1"/>
              <w:right w:val="single" w:color="C9C7DD" w:sz="1"/>
            </w:tcBorders>
            <w:shd w:fill="ECEAF6" w:color="auto" w:val="clear"/>
            <w:tcMar>
              <w:top w:type="dxa" w:w="70"/>
              <w:left w:type="dxa" w:w="110"/>
              <w:bottom w:type="dxa" w:w="70"/>
              <w:right w:type="dxa" w:w="110"/>
            </w:tcMar>
            <w:vAlign w:val="center"/>
          </w:tcPr>
          <w:p>
            <w:pPr>
              <w:spacing w:after="0" w:line="264"/>
            </w:pPr>
            <w:r>
              <w:rPr>
                <w:rFonts w:ascii="Calibri" w:cs="Calibri" w:eastAsia="Calibri" w:hAnsi="Calibri"/>
                <w:b/>
                <w:bCs/>
                <w:color w:val="2E2A5E"/>
                <w:sz w:val="20"/>
                <w:szCs w:val="20"/>
              </w:rPr>
              <w:t xml:space="preserve">Why it matters</w:t>
            </w:r>
          </w:p>
        </w:tc>
      </w:tr>
      <w:tr>
        <w:tc>
          <w:tcPr>
            <w:tcW w:type="dxa" w:w="1500"/>
            <w:tcBorders>
              <w:top w:val="single" w:color="C9C7DD" w:sz="1"/>
              <w:left w:val="single" w:color="C9C7DD" w:sz="1"/>
              <w:bottom w:val="single" w:color="C9C7DD" w:sz="1"/>
              <w:right w:val="single" w:color="C9C7DD" w:sz="1"/>
            </w:tcBorders>
            <w:tcMar>
              <w:top w:type="dxa" w:w="70"/>
              <w:left w:type="dxa" w:w="110"/>
              <w:bottom w:type="dxa" w:w="70"/>
              <w:right w:type="dxa" w:w="110"/>
            </w:tcMar>
            <w:vAlign w:val="center"/>
          </w:tcPr>
          <w:p>
            <w:pPr>
              <w:spacing w:after="0"/>
            </w:pPr>
            <w:r>
              <w:rPr>
                <w:rFonts w:ascii="Calibri" w:cs="Calibri" w:eastAsia="Calibri" w:hAnsi="Calibri"/>
                <w:b/>
                <w:bCs/>
                <w:color w:val="B00020"/>
                <w:sz w:val="20"/>
                <w:szCs w:val="20"/>
              </w:rPr>
              <w:t xml:space="preserve">Critical</w:t>
            </w:r>
          </w:p>
        </w:tc>
        <w:tc>
          <w:tcPr>
            <w:tcW w:type="dxa" w:w="4500"/>
            <w:tcBorders>
              <w:top w:val="single" w:color="C9C7DD" w:sz="1"/>
              <w:left w:val="single" w:color="C9C7DD" w:sz="1"/>
              <w:bottom w:val="single" w:color="C9C7DD" w:sz="1"/>
              <w:right w:val="single" w:color="C9C7DD" w:sz="1"/>
            </w:tcBorders>
            <w:tcMar>
              <w:top w:type="dxa" w:w="70"/>
              <w:left w:type="dxa" w:w="110"/>
              <w:bottom w:type="dxa" w:w="70"/>
              <w:right w:type="dxa" w:w="110"/>
            </w:tcMar>
            <w:vAlign w:val="center"/>
          </w:tcPr>
          <w:p>
            <w:pPr>
              <w:spacing w:after="0" w:line="264"/>
            </w:pPr>
            <w:r>
              <w:rPr>
                <w:rFonts w:ascii="Calibri" w:cs="Calibri" w:eastAsia="Calibri" w:hAnsi="Calibri"/>
                <w:b/>
                <w:bCs/>
                <w:color w:val="1A1A2E"/>
                <w:sz w:val="20"/>
                <w:szCs w:val="20"/>
              </w:rPr>
              <w:t xml:space="preserve">Empty &amp; duplicated page titles / metadata</w:t>
            </w:r>
          </w:p>
          <w:p>
            <w:pPr>
              <w:spacing w:after="0" w:before="30" w:line="264"/>
            </w:pPr>
            <w:r>
              <w:rPr>
                <w:rFonts w:ascii="Calibri" w:cs="Calibri" w:eastAsia="Calibri" w:hAnsi="Calibri"/>
                <w:color w:val="6B7280"/>
                <w:sz w:val="19"/>
                <w:szCs w:val="19"/>
              </w:rPr>
              <w:t xml:space="preserve">On product pages the live DOM shows two &lt;title&gt; tags and an empty effective document title, plus duplicated canonical, description and og:url tags with conflicting values. The declared react‑helmet‑async version (^3.0.0) is incompatible with React 19 and appends head tags instead of replacing them.</w:t>
            </w:r>
          </w:p>
        </w:tc>
        <w:tc>
          <w:tcPr>
            <w:tcW w:type="dxa" w:w="3360"/>
            <w:tcBorders>
              <w:top w:val="single" w:color="C9C7DD" w:sz="1"/>
              <w:left w:val="single" w:color="C9C7DD" w:sz="1"/>
              <w:bottom w:val="single" w:color="C9C7DD" w:sz="1"/>
              <w:right w:val="single" w:color="C9C7DD" w:sz="1"/>
            </w:tcBorders>
            <w:tcMar>
              <w:top w:type="dxa" w:w="70"/>
              <w:left w:type="dxa" w:w="110"/>
              <w:bottom w:type="dxa" w:w="70"/>
              <w:right w:type="dxa" w:w="110"/>
            </w:tcMar>
            <w:vAlign w:val="center"/>
          </w:tcPr>
          <w:p>
            <w:pPr>
              <w:spacing w:after="0" w:line="264"/>
            </w:pPr>
            <w:r>
              <w:rPr>
                <w:rFonts w:ascii="Calibri" w:cs="Calibri" w:eastAsia="Calibri" w:hAnsi="Calibri"/>
                <w:b w:val="false"/>
                <w:bCs w:val="false"/>
                <w:color w:val="1A1A2E"/>
                <w:sz w:val="19"/>
                <w:szCs w:val="19"/>
              </w:rPr>
              <w:t xml:space="preserve">Empty titles are severely penalised in search results, and conflicting canonical/description tags leave engines to guess — the single most damaging SEO issue here.</w:t>
            </w:r>
          </w:p>
        </w:tc>
      </w:tr>
      <w:tr>
        <w:tc>
          <w:tcPr>
            <w:tcW w:type="dxa" w:w="1500"/>
            <w:tcBorders>
              <w:top w:val="single" w:color="C9C7DD" w:sz="1"/>
              <w:left w:val="single" w:color="C9C7DD" w:sz="1"/>
              <w:bottom w:val="single" w:color="C9C7DD" w:sz="1"/>
              <w:right w:val="single" w:color="C9C7DD" w:sz="1"/>
            </w:tcBorders>
            <w:shd w:fill="F7F6FB" w:color="auto" w:val="clear"/>
            <w:tcMar>
              <w:top w:type="dxa" w:w="70"/>
              <w:left w:type="dxa" w:w="110"/>
              <w:bottom w:type="dxa" w:w="70"/>
              <w:right w:type="dxa" w:w="110"/>
            </w:tcMar>
            <w:vAlign w:val="center"/>
          </w:tcPr>
          <w:p>
            <w:pPr>
              <w:spacing w:after="0"/>
            </w:pPr>
            <w:r>
              <w:rPr>
                <w:rFonts w:ascii="Calibri" w:cs="Calibri" w:eastAsia="Calibri" w:hAnsi="Calibri"/>
                <w:b/>
                <w:bCs/>
                <w:color w:val="B00020"/>
                <w:sz w:val="20"/>
                <w:szCs w:val="20"/>
              </w:rPr>
              <w:t xml:space="preserve">Critical</w:t>
            </w:r>
          </w:p>
        </w:tc>
        <w:tc>
          <w:tcPr>
            <w:tcW w:type="dxa" w:w="4500"/>
            <w:tcBorders>
              <w:top w:val="single" w:color="C9C7DD" w:sz="1"/>
              <w:left w:val="single" w:color="C9C7DD" w:sz="1"/>
              <w:bottom w:val="single" w:color="C9C7DD" w:sz="1"/>
              <w:right w:val="single" w:color="C9C7DD" w:sz="1"/>
            </w:tcBorders>
            <w:shd w:fill="F7F6FB" w:color="auto" w:val="clear"/>
            <w:tcMar>
              <w:top w:type="dxa" w:w="70"/>
              <w:left w:type="dxa" w:w="110"/>
              <w:bottom w:type="dxa" w:w="70"/>
              <w:right w:type="dxa" w:w="110"/>
            </w:tcMar>
            <w:vAlign w:val="center"/>
          </w:tcPr>
          <w:p>
            <w:pPr>
              <w:spacing w:after="0" w:line="264"/>
            </w:pPr>
            <w:r>
              <w:rPr>
                <w:rFonts w:ascii="Calibri" w:cs="Calibri" w:eastAsia="Calibri" w:hAnsi="Calibri"/>
                <w:b/>
                <w:bCs/>
                <w:color w:val="1A1A2E"/>
                <w:sz w:val="20"/>
                <w:szCs w:val="20"/>
              </w:rPr>
              <w:t xml:space="preserve">Canonical &amp; OG point to a domain that now hosts a different app</w:t>
            </w:r>
          </w:p>
          <w:p>
            <w:pPr>
              <w:spacing w:after="0" w:before="30" w:line="264"/>
            </w:pPr>
            <w:r>
              <w:rPr>
                <w:rFonts w:ascii="Calibri" w:cs="Calibri" w:eastAsia="Calibri" w:hAnsi="Calibri"/>
                <w:color w:val="6B7280"/>
                <w:sz w:val="19"/>
                <w:szCs w:val="19"/>
              </w:rPr>
              <w:t xml:space="preserve">Canonicals/OG hardcode https://selestial.vercel.app, but that domain currently serves an unrelated “AURICLE” medical‑learning site; the real store is selestial-lovat.vercel.app.</w:t>
            </w:r>
          </w:p>
        </w:tc>
        <w:tc>
          <w:tcPr>
            <w:tcW w:type="dxa" w:w="3360"/>
            <w:tcBorders>
              <w:top w:val="single" w:color="C9C7DD" w:sz="1"/>
              <w:left w:val="single" w:color="C9C7DD" w:sz="1"/>
              <w:bottom w:val="single" w:color="C9C7DD" w:sz="1"/>
              <w:right w:val="single" w:color="C9C7DD" w:sz="1"/>
            </w:tcBorders>
            <w:shd w:fill="F7F6FB" w:color="auto" w:val="clear"/>
            <w:tcMar>
              <w:top w:type="dxa" w:w="70"/>
              <w:left w:type="dxa" w:w="110"/>
              <w:bottom w:type="dxa" w:w="70"/>
              <w:right w:type="dxa" w:w="110"/>
            </w:tcMar>
            <w:vAlign w:val="center"/>
          </w:tcPr>
          <w:p>
            <w:pPr>
              <w:spacing w:after="0" w:line="264"/>
            </w:pPr>
            <w:r>
              <w:rPr>
                <w:rFonts w:ascii="Calibri" w:cs="Calibri" w:eastAsia="Calibri" w:hAnsi="Calibri"/>
                <w:b w:val="false"/>
                <w:bCs w:val="false"/>
                <w:color w:val="1A1A2E"/>
                <w:sz w:val="19"/>
                <w:szCs w:val="19"/>
              </w:rPr>
              <w:t xml:space="preserve">Every page tells search engines its canonical version lives on unrelated content, risking de‑indexing or misattribution of the entire store.</w:t>
            </w:r>
          </w:p>
        </w:tc>
      </w:tr>
      <w:tr>
        <w:tc>
          <w:tcPr>
            <w:tcW w:type="dxa" w:w="1500"/>
            <w:tcBorders>
              <w:top w:val="single" w:color="C9C7DD" w:sz="1"/>
              <w:left w:val="single" w:color="C9C7DD" w:sz="1"/>
              <w:bottom w:val="single" w:color="C9C7DD" w:sz="1"/>
              <w:right w:val="single" w:color="C9C7DD" w:sz="1"/>
            </w:tcBorders>
            <w:tcMar>
              <w:top w:type="dxa" w:w="70"/>
              <w:left w:type="dxa" w:w="110"/>
              <w:bottom w:type="dxa" w:w="70"/>
              <w:right w:type="dxa" w:w="110"/>
            </w:tcMar>
            <w:vAlign w:val="center"/>
          </w:tcPr>
          <w:p>
            <w:pPr>
              <w:spacing w:after="0"/>
            </w:pPr>
            <w:r>
              <w:rPr>
                <w:rFonts w:ascii="Calibri" w:cs="Calibri" w:eastAsia="Calibri" w:hAnsi="Calibri"/>
                <w:b/>
                <w:bCs/>
                <w:color w:val="C2410C"/>
                <w:sz w:val="20"/>
                <w:szCs w:val="20"/>
              </w:rPr>
              <w:t xml:space="preserve">High</w:t>
            </w:r>
          </w:p>
        </w:tc>
        <w:tc>
          <w:tcPr>
            <w:tcW w:type="dxa" w:w="4500"/>
            <w:tcBorders>
              <w:top w:val="single" w:color="C9C7DD" w:sz="1"/>
              <w:left w:val="single" w:color="C9C7DD" w:sz="1"/>
              <w:bottom w:val="single" w:color="C9C7DD" w:sz="1"/>
              <w:right w:val="single" w:color="C9C7DD" w:sz="1"/>
            </w:tcBorders>
            <w:tcMar>
              <w:top w:type="dxa" w:w="70"/>
              <w:left w:type="dxa" w:w="110"/>
              <w:bottom w:type="dxa" w:w="70"/>
              <w:right w:type="dxa" w:w="110"/>
            </w:tcMar>
            <w:vAlign w:val="center"/>
          </w:tcPr>
          <w:p>
            <w:pPr>
              <w:spacing w:after="0" w:line="264"/>
            </w:pPr>
            <w:r>
              <w:rPr>
                <w:rFonts w:ascii="Calibri" w:cs="Calibri" w:eastAsia="Calibri" w:hAnsi="Calibri"/>
                <w:b/>
                <w:bCs/>
                <w:color w:val="1A1A2E"/>
                <w:sz w:val="20"/>
                <w:szCs w:val="20"/>
              </w:rPr>
              <w:t xml:space="preserve">Dynamic sitemap is dead in production</w:t>
            </w:r>
          </w:p>
          <w:p>
            <w:pPr>
              <w:spacing w:after="0" w:before="30" w:line="264"/>
            </w:pPr>
            <w:r>
              <w:rPr>
                <w:rFonts w:ascii="Calibri" w:cs="Calibri" w:eastAsia="Calibri" w:hAnsi="Calibri"/>
                <w:color w:val="6B7280"/>
                <w:sz w:val="19"/>
                <w:szCs w:val="19"/>
              </w:rPr>
              <w:t xml:space="preserve">The Vercel rewrite that sends /(.*) to index.html intercepts /sitemap.xml before the Express route; live it returns the SPA HTML shell (HTTP 200, text/html), not XML. robots.txt still advertises it.</w:t>
            </w:r>
          </w:p>
        </w:tc>
        <w:tc>
          <w:tcPr>
            <w:tcW w:type="dxa" w:w="3360"/>
            <w:tcBorders>
              <w:top w:val="single" w:color="C9C7DD" w:sz="1"/>
              <w:left w:val="single" w:color="C9C7DD" w:sz="1"/>
              <w:bottom w:val="single" w:color="C9C7DD" w:sz="1"/>
              <w:right w:val="single" w:color="C9C7DD" w:sz="1"/>
            </w:tcBorders>
            <w:tcMar>
              <w:top w:type="dxa" w:w="70"/>
              <w:left w:type="dxa" w:w="110"/>
              <w:bottom w:type="dxa" w:w="70"/>
              <w:right w:type="dxa" w:w="110"/>
            </w:tcMar>
            <w:vAlign w:val="center"/>
          </w:tcPr>
          <w:p>
            <w:pPr>
              <w:spacing w:after="0" w:line="264"/>
            </w:pPr>
            <w:r>
              <w:rPr>
                <w:rFonts w:ascii="Calibri" w:cs="Calibri" w:eastAsia="Calibri" w:hAnsi="Calibri"/>
                <w:b w:val="false"/>
                <w:bCs w:val="false"/>
                <w:color w:val="1A1A2E"/>
                <w:sz w:val="19"/>
                <w:szCs w:val="19"/>
              </w:rPr>
              <w:t xml:space="preserve">Search engines fetch an HTML page where a sitemap should be, so there is no machine‑readable map of products and pages.</w:t>
            </w:r>
          </w:p>
        </w:tc>
      </w:tr>
      <w:tr>
        <w:tc>
          <w:tcPr>
            <w:tcW w:type="dxa" w:w="1500"/>
            <w:tcBorders>
              <w:top w:val="single" w:color="C9C7DD" w:sz="1"/>
              <w:left w:val="single" w:color="C9C7DD" w:sz="1"/>
              <w:bottom w:val="single" w:color="C9C7DD" w:sz="1"/>
              <w:right w:val="single" w:color="C9C7DD" w:sz="1"/>
            </w:tcBorders>
            <w:shd w:fill="F7F6FB" w:color="auto" w:val="clear"/>
            <w:tcMar>
              <w:top w:type="dxa" w:w="70"/>
              <w:left w:type="dxa" w:w="110"/>
              <w:bottom w:type="dxa" w:w="70"/>
              <w:right w:type="dxa" w:w="110"/>
            </w:tcMar>
            <w:vAlign w:val="center"/>
          </w:tcPr>
          <w:p>
            <w:pPr>
              <w:spacing w:after="0"/>
            </w:pPr>
            <w:r>
              <w:rPr>
                <w:rFonts w:ascii="Calibri" w:cs="Calibri" w:eastAsia="Calibri" w:hAnsi="Calibri"/>
                <w:b/>
                <w:bCs/>
                <w:color w:val="C2410C"/>
                <w:sz w:val="20"/>
                <w:szCs w:val="20"/>
              </w:rPr>
              <w:t xml:space="preserve">High</w:t>
            </w:r>
          </w:p>
        </w:tc>
        <w:tc>
          <w:tcPr>
            <w:tcW w:type="dxa" w:w="4500"/>
            <w:tcBorders>
              <w:top w:val="single" w:color="C9C7DD" w:sz="1"/>
              <w:left w:val="single" w:color="C9C7DD" w:sz="1"/>
              <w:bottom w:val="single" w:color="C9C7DD" w:sz="1"/>
              <w:right w:val="single" w:color="C9C7DD" w:sz="1"/>
            </w:tcBorders>
            <w:shd w:fill="F7F6FB" w:color="auto" w:val="clear"/>
            <w:tcMar>
              <w:top w:type="dxa" w:w="70"/>
              <w:left w:type="dxa" w:w="110"/>
              <w:bottom w:type="dxa" w:w="70"/>
              <w:right w:type="dxa" w:w="110"/>
            </w:tcMar>
            <w:vAlign w:val="center"/>
          </w:tcPr>
          <w:p>
            <w:pPr>
              <w:spacing w:after="0" w:line="264"/>
            </w:pPr>
            <w:r>
              <w:rPr>
                <w:rFonts w:ascii="Calibri" w:cs="Calibri" w:eastAsia="Calibri" w:hAnsi="Calibri"/>
                <w:b/>
                <w:bCs/>
                <w:color w:val="1A1A2E"/>
                <w:sz w:val="20"/>
                <w:szCs w:val="20"/>
              </w:rPr>
              <w:t xml:space="preserve">Client‑side rendering only (no SSR / prerender) — weak AEO/GEO</w:t>
            </w:r>
          </w:p>
          <w:p>
            <w:pPr>
              <w:spacing w:after="0" w:before="30" w:line="264"/>
            </w:pPr>
            <w:r>
              <w:rPr>
                <w:rFonts w:ascii="Calibri" w:cs="Calibri" w:eastAsia="Calibri" w:hAnsi="Calibri"/>
                <w:color w:val="6B7280"/>
                <w:sz w:val="19"/>
                <w:szCs w:val="19"/>
              </w:rPr>
              <w:t xml:space="preserve">Crawlers and AI agents that don’t execute JavaScript receive the static shell, whose meta still reflect the wrong domain. Googlebot renders JS (Product JSON‑LD did appear), but many answer/generative engines and social scrapers do not.</w:t>
            </w:r>
          </w:p>
        </w:tc>
        <w:tc>
          <w:tcPr>
            <w:tcW w:type="dxa" w:w="3360"/>
            <w:tcBorders>
              <w:top w:val="single" w:color="C9C7DD" w:sz="1"/>
              <w:left w:val="single" w:color="C9C7DD" w:sz="1"/>
              <w:bottom w:val="single" w:color="C9C7DD" w:sz="1"/>
              <w:right w:val="single" w:color="C9C7DD" w:sz="1"/>
            </w:tcBorders>
            <w:shd w:fill="F7F6FB" w:color="auto" w:val="clear"/>
            <w:tcMar>
              <w:top w:type="dxa" w:w="70"/>
              <w:left w:type="dxa" w:w="110"/>
              <w:bottom w:type="dxa" w:w="70"/>
              <w:right w:type="dxa" w:w="110"/>
            </w:tcMar>
            <w:vAlign w:val="center"/>
          </w:tcPr>
          <w:p>
            <w:pPr>
              <w:spacing w:after="0" w:line="264"/>
            </w:pPr>
            <w:r>
              <w:rPr>
                <w:rFonts w:ascii="Calibri" w:cs="Calibri" w:eastAsia="Calibri" w:hAnsi="Calibri"/>
                <w:b w:val="false"/>
                <w:bCs w:val="false"/>
                <w:color w:val="1A1A2E"/>
                <w:sz w:val="19"/>
                <w:szCs w:val="19"/>
              </w:rPr>
              <w:t xml:space="preserve">Per‑page titles, descriptions, product schema and copy are invisible to non‑rendering agents, undercutting answer‑engine and generative‑engine visibility.</w:t>
            </w:r>
          </w:p>
        </w:tc>
      </w:tr>
      <w:tr>
        <w:tc>
          <w:tcPr>
            <w:tcW w:type="dxa" w:w="1500"/>
            <w:tcBorders>
              <w:top w:val="single" w:color="C9C7DD" w:sz="1"/>
              <w:left w:val="single" w:color="C9C7DD" w:sz="1"/>
              <w:bottom w:val="single" w:color="C9C7DD" w:sz="1"/>
              <w:right w:val="single" w:color="C9C7DD" w:sz="1"/>
            </w:tcBorders>
            <w:tcMar>
              <w:top w:type="dxa" w:w="70"/>
              <w:left w:type="dxa" w:w="110"/>
              <w:bottom w:type="dxa" w:w="70"/>
              <w:right w:type="dxa" w:w="110"/>
            </w:tcMar>
            <w:vAlign w:val="center"/>
          </w:tcPr>
          <w:p>
            <w:pPr>
              <w:spacing w:after="0"/>
            </w:pPr>
            <w:r>
              <w:rPr>
                <w:rFonts w:ascii="Calibri" w:cs="Calibri" w:eastAsia="Calibri" w:hAnsi="Calibri"/>
                <w:b/>
                <w:bCs/>
                <w:color w:val="C2410C"/>
                <w:sz w:val="20"/>
                <w:szCs w:val="20"/>
              </w:rPr>
              <w:t xml:space="preserve">High</w:t>
            </w:r>
          </w:p>
        </w:tc>
        <w:tc>
          <w:tcPr>
            <w:tcW w:type="dxa" w:w="4500"/>
            <w:tcBorders>
              <w:top w:val="single" w:color="C9C7DD" w:sz="1"/>
              <w:left w:val="single" w:color="C9C7DD" w:sz="1"/>
              <w:bottom w:val="single" w:color="C9C7DD" w:sz="1"/>
              <w:right w:val="single" w:color="C9C7DD" w:sz="1"/>
            </w:tcBorders>
            <w:tcMar>
              <w:top w:type="dxa" w:w="70"/>
              <w:left w:type="dxa" w:w="110"/>
              <w:bottom w:type="dxa" w:w="70"/>
              <w:right w:type="dxa" w:w="110"/>
            </w:tcMar>
            <w:vAlign w:val="center"/>
          </w:tcPr>
          <w:p>
            <w:pPr>
              <w:spacing w:after="0" w:line="264"/>
            </w:pPr>
            <w:r>
              <w:rPr>
                <w:rFonts w:ascii="Calibri" w:cs="Calibri" w:eastAsia="Calibri" w:hAnsi="Calibri"/>
                <w:b/>
                <w:bCs/>
                <w:color w:val="1A1A2E"/>
                <w:sz w:val="20"/>
                <w:szCs w:val="20"/>
              </w:rPr>
              <w:t xml:space="preserve">Internal domain inconsistency</w:t>
            </w:r>
          </w:p>
          <w:p>
            <w:pPr>
              <w:spacing w:after="0" w:before="30" w:line="264"/>
            </w:pPr>
            <w:r>
              <w:rPr>
                <w:rFonts w:ascii="Calibri" w:cs="Calibri" w:eastAsia="Calibri" w:hAnsi="Calibri"/>
                <w:color w:val="6B7280"/>
                <w:sz w:val="19"/>
                <w:szCs w:val="19"/>
              </w:rPr>
              <w:t xml:space="preserve">The Products page uses selestial-lovat.vercel.app while other pages, the sitemap and the SearchAction use selestial.vercel.app.</w:t>
            </w:r>
          </w:p>
        </w:tc>
        <w:tc>
          <w:tcPr>
            <w:tcW w:type="dxa" w:w="3360"/>
            <w:tcBorders>
              <w:top w:val="single" w:color="C9C7DD" w:sz="1"/>
              <w:left w:val="single" w:color="C9C7DD" w:sz="1"/>
              <w:bottom w:val="single" w:color="C9C7DD" w:sz="1"/>
              <w:right w:val="single" w:color="C9C7DD" w:sz="1"/>
            </w:tcBorders>
            <w:tcMar>
              <w:top w:type="dxa" w:w="70"/>
              <w:left w:type="dxa" w:w="110"/>
              <w:bottom w:type="dxa" w:w="70"/>
              <w:right w:type="dxa" w:w="110"/>
            </w:tcMar>
            <w:vAlign w:val="center"/>
          </w:tcPr>
          <w:p>
            <w:pPr>
              <w:spacing w:after="0" w:line="264"/>
            </w:pPr>
            <w:r>
              <w:rPr>
                <w:rFonts w:ascii="Calibri" w:cs="Calibri" w:eastAsia="Calibri" w:hAnsi="Calibri"/>
                <w:b w:val="false"/>
                <w:bCs w:val="false"/>
                <w:color w:val="1A1A2E"/>
                <w:sz w:val="19"/>
                <w:szCs w:val="19"/>
              </w:rPr>
              <w:t xml:space="preserve">Mixed signals split ranking authority and make canonical resolution unreliable.</w:t>
            </w:r>
          </w:p>
        </w:tc>
      </w:tr>
      <w:tr>
        <w:tc>
          <w:tcPr>
            <w:tcW w:type="dxa" w:w="1500"/>
            <w:tcBorders>
              <w:top w:val="single" w:color="C9C7DD" w:sz="1"/>
              <w:left w:val="single" w:color="C9C7DD" w:sz="1"/>
              <w:bottom w:val="single" w:color="C9C7DD" w:sz="1"/>
              <w:right w:val="single" w:color="C9C7DD" w:sz="1"/>
            </w:tcBorders>
            <w:shd w:fill="F7F6FB" w:color="auto" w:val="clear"/>
            <w:tcMar>
              <w:top w:type="dxa" w:w="70"/>
              <w:left w:type="dxa" w:w="110"/>
              <w:bottom w:type="dxa" w:w="70"/>
              <w:right w:type="dxa" w:w="110"/>
            </w:tcMar>
            <w:vAlign w:val="center"/>
          </w:tcPr>
          <w:p>
            <w:pPr>
              <w:spacing w:after="0"/>
            </w:pPr>
            <w:r>
              <w:rPr>
                <w:rFonts w:ascii="Calibri" w:cs="Calibri" w:eastAsia="Calibri" w:hAnsi="Calibri"/>
                <w:b/>
                <w:bCs/>
                <w:color w:val="B45309"/>
                <w:sz w:val="20"/>
                <w:szCs w:val="20"/>
              </w:rPr>
              <w:t xml:space="preserve">Medium</w:t>
            </w:r>
          </w:p>
        </w:tc>
        <w:tc>
          <w:tcPr>
            <w:tcW w:type="dxa" w:w="4500"/>
            <w:tcBorders>
              <w:top w:val="single" w:color="C9C7DD" w:sz="1"/>
              <w:left w:val="single" w:color="C9C7DD" w:sz="1"/>
              <w:bottom w:val="single" w:color="C9C7DD" w:sz="1"/>
              <w:right w:val="single" w:color="C9C7DD" w:sz="1"/>
            </w:tcBorders>
            <w:shd w:fill="F7F6FB" w:color="auto" w:val="clear"/>
            <w:tcMar>
              <w:top w:type="dxa" w:w="70"/>
              <w:left w:type="dxa" w:w="110"/>
              <w:bottom w:type="dxa" w:w="70"/>
              <w:right w:type="dxa" w:w="110"/>
            </w:tcMar>
            <w:vAlign w:val="center"/>
          </w:tcPr>
          <w:p>
            <w:pPr>
              <w:spacing w:after="0" w:line="264"/>
            </w:pPr>
            <w:r>
              <w:rPr>
                <w:rFonts w:ascii="Calibri" w:cs="Calibri" w:eastAsia="Calibri" w:hAnsi="Calibri"/>
                <w:b/>
                <w:bCs/>
                <w:color w:val="1A1A2E"/>
                <w:sz w:val="20"/>
                <w:szCs w:val="20"/>
              </w:rPr>
              <w:t xml:space="preserve">Products aren’t crawlable links; multiple H1s</w:t>
            </w:r>
          </w:p>
          <w:p>
            <w:pPr>
              <w:spacing w:after="0" w:before="30" w:line="264"/>
            </w:pPr>
            <w:r>
              <w:rPr>
                <w:rFonts w:ascii="Calibri" w:cs="Calibri" w:eastAsia="Calibri" w:hAnsi="Calibri"/>
                <w:color w:val="6B7280"/>
                <w:sz w:val="19"/>
                <w:szCs w:val="19"/>
              </w:rPr>
              <w:t xml:space="preserve">Collection cards are div onClick handlers, so there’s no &lt;a href&gt; crawl path; the homepage exposes more than one H1.</w:t>
            </w:r>
          </w:p>
        </w:tc>
        <w:tc>
          <w:tcPr>
            <w:tcW w:type="dxa" w:w="3360"/>
            <w:tcBorders>
              <w:top w:val="single" w:color="C9C7DD" w:sz="1"/>
              <w:left w:val="single" w:color="C9C7DD" w:sz="1"/>
              <w:bottom w:val="single" w:color="C9C7DD" w:sz="1"/>
              <w:right w:val="single" w:color="C9C7DD" w:sz="1"/>
            </w:tcBorders>
            <w:shd w:fill="F7F6FB" w:color="auto" w:val="clear"/>
            <w:tcMar>
              <w:top w:type="dxa" w:w="70"/>
              <w:left w:type="dxa" w:w="110"/>
              <w:bottom w:type="dxa" w:w="70"/>
              <w:right w:type="dxa" w:w="110"/>
            </w:tcMar>
            <w:vAlign w:val="center"/>
          </w:tcPr>
          <w:p>
            <w:pPr>
              <w:spacing w:after="0" w:line="264"/>
            </w:pPr>
            <w:r>
              <w:rPr>
                <w:rFonts w:ascii="Calibri" w:cs="Calibri" w:eastAsia="Calibri" w:hAnsi="Calibri"/>
                <w:b w:val="false"/>
                <w:bCs w:val="false"/>
                <w:color w:val="1A1A2E"/>
                <w:sz w:val="19"/>
                <w:szCs w:val="19"/>
              </w:rPr>
              <w:t xml:space="preserve">With the sitemap broken, product discovery for crawlers is impaired, and heading semantics are diluted.</w:t>
            </w:r>
          </w:p>
        </w:tc>
      </w:tr>
      <w:tr>
        <w:tc>
          <w:tcPr>
            <w:tcW w:type="dxa" w:w="1500"/>
            <w:tcBorders>
              <w:top w:val="single" w:color="C9C7DD" w:sz="1"/>
              <w:left w:val="single" w:color="C9C7DD" w:sz="1"/>
              <w:bottom w:val="single" w:color="C9C7DD" w:sz="1"/>
              <w:right w:val="single" w:color="C9C7DD" w:sz="1"/>
            </w:tcBorders>
            <w:tcMar>
              <w:top w:type="dxa" w:w="70"/>
              <w:left w:type="dxa" w:w="110"/>
              <w:bottom w:type="dxa" w:w="70"/>
              <w:right w:type="dxa" w:w="110"/>
            </w:tcMar>
            <w:vAlign w:val="center"/>
          </w:tcPr>
          <w:p>
            <w:pPr>
              <w:spacing w:after="0"/>
            </w:pPr>
            <w:r>
              <w:rPr>
                <w:rFonts w:ascii="Calibri" w:cs="Calibri" w:eastAsia="Calibri" w:hAnsi="Calibri"/>
                <w:b/>
                <w:bCs/>
                <w:color w:val="4B5563"/>
                <w:sz w:val="20"/>
                <w:szCs w:val="20"/>
              </w:rPr>
              <w:t xml:space="preserve">Low</w:t>
            </w:r>
          </w:p>
        </w:tc>
        <w:tc>
          <w:tcPr>
            <w:tcW w:type="dxa" w:w="4500"/>
            <w:tcBorders>
              <w:top w:val="single" w:color="C9C7DD" w:sz="1"/>
              <w:left w:val="single" w:color="C9C7DD" w:sz="1"/>
              <w:bottom w:val="single" w:color="C9C7DD" w:sz="1"/>
              <w:right w:val="single" w:color="C9C7DD" w:sz="1"/>
            </w:tcBorders>
            <w:tcMar>
              <w:top w:type="dxa" w:w="70"/>
              <w:left w:type="dxa" w:w="110"/>
              <w:bottom w:type="dxa" w:w="70"/>
              <w:right w:type="dxa" w:w="110"/>
            </w:tcMar>
            <w:vAlign w:val="center"/>
          </w:tcPr>
          <w:p>
            <w:pPr>
              <w:spacing w:after="0" w:line="264"/>
            </w:pPr>
            <w:r>
              <w:rPr>
                <w:rFonts w:ascii="Calibri" w:cs="Calibri" w:eastAsia="Calibri" w:hAnsi="Calibri"/>
                <w:b/>
                <w:bCs/>
                <w:color w:val="1A1A2E"/>
                <w:sz w:val="20"/>
                <w:szCs w:val="20"/>
              </w:rPr>
              <w:t xml:space="preserve">AggregateRating without itemReviewed/reviews</w:t>
            </w:r>
          </w:p>
          <w:p>
            <w:pPr>
              <w:spacing w:after="0" w:before="30" w:line="264"/>
            </w:pPr>
            <w:r>
              <w:rPr>
                <w:rFonts w:ascii="Calibri" w:cs="Calibri" w:eastAsia="Calibri" w:hAnsi="Calibri"/>
                <w:color w:val="6B7280"/>
                <w:sz w:val="19"/>
                <w:szCs w:val="19"/>
              </w:rPr>
              <w:t xml:space="preserve">Product schema emits an aggregateRating with no accompanying review data.</w:t>
            </w:r>
          </w:p>
        </w:tc>
        <w:tc>
          <w:tcPr>
            <w:tcW w:type="dxa" w:w="3360"/>
            <w:tcBorders>
              <w:top w:val="single" w:color="C9C7DD" w:sz="1"/>
              <w:left w:val="single" w:color="C9C7DD" w:sz="1"/>
              <w:bottom w:val="single" w:color="C9C7DD" w:sz="1"/>
              <w:right w:val="single" w:color="C9C7DD" w:sz="1"/>
            </w:tcBorders>
            <w:tcMar>
              <w:top w:type="dxa" w:w="70"/>
              <w:left w:type="dxa" w:w="110"/>
              <w:bottom w:type="dxa" w:w="70"/>
              <w:right w:type="dxa" w:w="110"/>
            </w:tcMar>
            <w:vAlign w:val="center"/>
          </w:tcPr>
          <w:p>
            <w:pPr>
              <w:spacing w:after="0" w:line="264"/>
            </w:pPr>
            <w:r>
              <w:rPr>
                <w:rFonts w:ascii="Calibri" w:cs="Calibri" w:eastAsia="Calibri" w:hAnsi="Calibri"/>
                <w:b w:val="false"/>
                <w:bCs w:val="false"/>
                <w:color w:val="1A1A2E"/>
                <w:sz w:val="19"/>
                <w:szCs w:val="19"/>
              </w:rPr>
              <w:t xml:space="preserve">Likely to trigger Search Console structured‑data warnings and may suppress rich results.</w:t>
            </w:r>
          </w:p>
        </w:tc>
      </w:tr>
      <w:tr>
        <w:tc>
          <w:tcPr>
            <w:tcW w:type="dxa" w:w="1500"/>
            <w:tcBorders>
              <w:top w:val="single" w:color="C9C7DD" w:sz="1"/>
              <w:left w:val="single" w:color="C9C7DD" w:sz="1"/>
              <w:bottom w:val="single" w:color="C9C7DD" w:sz="1"/>
              <w:right w:val="single" w:color="C9C7DD" w:sz="1"/>
            </w:tcBorders>
            <w:shd w:fill="F7F6FB" w:color="auto" w:val="clear"/>
            <w:tcMar>
              <w:top w:type="dxa" w:w="70"/>
              <w:left w:type="dxa" w:w="110"/>
              <w:bottom w:type="dxa" w:w="70"/>
              <w:right w:type="dxa" w:w="110"/>
            </w:tcMar>
            <w:vAlign w:val="center"/>
          </w:tcPr>
          <w:p>
            <w:pPr>
              <w:spacing w:after="0"/>
            </w:pPr>
            <w:r>
              <w:rPr>
                <w:rFonts w:ascii="Calibri" w:cs="Calibri" w:eastAsia="Calibri" w:hAnsi="Calibri"/>
                <w:b/>
                <w:bCs/>
                <w:color w:val="15803D"/>
                <w:sz w:val="20"/>
                <w:szCs w:val="20"/>
              </w:rPr>
              <w:t xml:space="preserve">Positive</w:t>
            </w:r>
          </w:p>
        </w:tc>
        <w:tc>
          <w:tcPr>
            <w:tcW w:type="dxa" w:w="4500"/>
            <w:tcBorders>
              <w:top w:val="single" w:color="C9C7DD" w:sz="1"/>
              <w:left w:val="single" w:color="C9C7DD" w:sz="1"/>
              <w:bottom w:val="single" w:color="C9C7DD" w:sz="1"/>
              <w:right w:val="single" w:color="C9C7DD" w:sz="1"/>
            </w:tcBorders>
            <w:shd w:fill="F7F6FB" w:color="auto" w:val="clear"/>
            <w:tcMar>
              <w:top w:type="dxa" w:w="70"/>
              <w:left w:type="dxa" w:w="110"/>
              <w:bottom w:type="dxa" w:w="70"/>
              <w:right w:type="dxa" w:w="110"/>
            </w:tcMar>
            <w:vAlign w:val="center"/>
          </w:tcPr>
          <w:p>
            <w:pPr>
              <w:spacing w:after="0" w:line="264"/>
            </w:pPr>
            <w:r>
              <w:rPr>
                <w:rFonts w:ascii="Calibri" w:cs="Calibri" w:eastAsia="Calibri" w:hAnsi="Calibri"/>
                <w:b/>
                <w:bCs/>
                <w:color w:val="1A1A2E"/>
                <w:sz w:val="20"/>
                <w:szCs w:val="20"/>
              </w:rPr>
              <w:t xml:space="preserve">Schema, OG/Twitter, responsive images, robots in place</w:t>
            </w:r>
          </w:p>
          <w:p>
            <w:pPr>
              <w:spacing w:after="0" w:before="30" w:line="264"/>
            </w:pPr>
            <w:r>
              <w:rPr>
                <w:rFonts w:ascii="Calibri" w:cs="Calibri" w:eastAsia="Calibri" w:hAnsi="Calibri"/>
                <w:color w:val="6B7280"/>
                <w:sz w:val="19"/>
                <w:szCs w:val="19"/>
              </w:rPr>
              <w:t xml:space="preserve">Organization + WebSite + Product JSON‑LD, social cards, srcset/lazy images, and sensible robots rules.</w:t>
            </w:r>
          </w:p>
        </w:tc>
        <w:tc>
          <w:tcPr>
            <w:tcW w:type="dxa" w:w="3360"/>
            <w:tcBorders>
              <w:top w:val="single" w:color="C9C7DD" w:sz="1"/>
              <w:left w:val="single" w:color="C9C7DD" w:sz="1"/>
              <w:bottom w:val="single" w:color="C9C7DD" w:sz="1"/>
              <w:right w:val="single" w:color="C9C7DD" w:sz="1"/>
            </w:tcBorders>
            <w:shd w:fill="F7F6FB" w:color="auto" w:val="clear"/>
            <w:tcMar>
              <w:top w:type="dxa" w:w="70"/>
              <w:left w:type="dxa" w:w="110"/>
              <w:bottom w:type="dxa" w:w="70"/>
              <w:right w:type="dxa" w:w="110"/>
            </w:tcMar>
            <w:vAlign w:val="center"/>
          </w:tcPr>
          <w:p>
            <w:pPr>
              <w:spacing w:after="0" w:line="264"/>
            </w:pPr>
            <w:r>
              <w:rPr>
                <w:rFonts w:ascii="Calibri" w:cs="Calibri" w:eastAsia="Calibri" w:hAnsi="Calibri"/>
                <w:b w:val="false"/>
                <w:bCs w:val="false"/>
                <w:color w:val="1A1A2E"/>
                <w:sz w:val="19"/>
                <w:szCs w:val="19"/>
              </w:rPr>
              <w:t xml:space="preserve">A strong foundation that will pay off quickly once rendering and canonical issues are corrected.</w:t>
            </w:r>
          </w:p>
        </w:tc>
      </w:tr>
    </w:tbl>
    <w:p>
      <w:pPr>
        <w:pStyle w:val="Heading1"/>
        <w:pBdr>
          <w:bottom w:val="single" w:color="6D5BD0" w:sz="10" w:space="4"/>
        </w:pBdr>
        <w:spacing w:after="140" w:before="320"/>
      </w:pPr>
      <w:r>
        <w:rPr>
          <w:rFonts w:ascii="Calibri" w:cs="Calibri" w:eastAsia="Calibri" w:hAnsi="Calibri"/>
          <w:b/>
          <w:bCs/>
          <w:color w:val="2E2A5E"/>
          <w:sz w:val="30"/>
          <w:szCs w:val="30"/>
        </w:rPr>
        <w:t xml:space="preserve">6. Bug Report</w:t>
      </w:r>
    </w:p>
    <w:p>
      <w:pPr>
        <w:spacing w:after="120" w:before="0" w:line="276"/>
      </w:pPr>
      <w:r>
        <w:rPr>
          <w:rFonts w:ascii="Calibri" w:cs="Calibri" w:eastAsia="Calibri" w:hAnsi="Calibri"/>
          <w:b w:val="false"/>
          <w:bCs w:val="false"/>
          <w:i w:val="false"/>
          <w:iCs w:val="false"/>
          <w:color w:val="1A1A2E"/>
          <w:sz w:val="22"/>
          <w:szCs w:val="22"/>
        </w:rPr>
        <w:t xml:space="preserve">This section catalogs concrete defects observed during the review, including functional bugs and behaviour confirmed on the live site. Severity reflects user and business impact. As requested, entries describe the problem and its effect only — no code or fixes are included. Items that also carry security or SEO weight are cross‑referenced.</w:t>
      </w:r>
    </w:p>
    <w:p>
      <w:pPr>
        <w:pStyle w:val="ListParagraph"/>
        <w:numPr>
          <w:ilvl w:val="0"/>
          <w:numId w:val="2"/>
        </w:numPr>
        <w:spacing w:after="80" w:line="272"/>
      </w:pPr>
      <w:r>
        <w:rPr>
          <w:rFonts w:ascii="Calibri" w:cs="Calibri" w:eastAsia="Calibri" w:hAnsi="Calibri"/>
          <w:b/>
          <w:bCs/>
          <w:color w:val="1A1A2E"/>
          <w:sz w:val="22"/>
          <w:szCs w:val="22"/>
        </w:rPr>
        <w:t xml:space="preserve">Authentication bypass on customer login — </w:t>
      </w:r>
      <w:r>
        <w:rPr>
          <w:rFonts w:ascii="Calibri" w:cs="Calibri" w:eastAsia="Calibri" w:hAnsi="Calibri"/>
          <w:color w:val="1A1A2E"/>
          <w:sz w:val="22"/>
          <w:szCs w:val="22"/>
        </w:rPr>
        <w:t xml:space="preserve">supplying auth_provider “google”/“otp” skips the password check and returns a valid session for any known email/phone. (Critical; see §2.)</w:t>
      </w:r>
    </w:p>
    <w:p>
      <w:pPr>
        <w:pStyle w:val="ListParagraph"/>
        <w:numPr>
          <w:ilvl w:val="0"/>
          <w:numId w:val="2"/>
        </w:numPr>
        <w:spacing w:after="80" w:line="272"/>
      </w:pPr>
      <w:r>
        <w:rPr>
          <w:rFonts w:ascii="Calibri" w:cs="Calibri" w:eastAsia="Calibri" w:hAnsi="Calibri"/>
          <w:b/>
          <w:bCs/>
          <w:color w:val="1A1A2E"/>
          <w:sz w:val="22"/>
          <w:szCs w:val="22"/>
        </w:rPr>
        <w:t xml:space="preserve">Empty / duplicated metadata — </w:t>
      </w:r>
      <w:r>
        <w:rPr>
          <w:rFonts w:ascii="Calibri" w:cs="Calibri" w:eastAsia="Calibri" w:hAnsi="Calibri"/>
          <w:color w:val="1A1A2E"/>
          <w:sz w:val="22"/>
          <w:szCs w:val="22"/>
        </w:rPr>
        <w:t xml:space="preserve">product pages render two &lt;title&gt; tags with an empty effective title and duplicated canonical/description/og:url tags (Helmet vs static index.html). Confirmed live. (Critical; §5.)</w:t>
      </w:r>
    </w:p>
    <w:p>
      <w:pPr>
        <w:pStyle w:val="ListParagraph"/>
        <w:numPr>
          <w:ilvl w:val="0"/>
          <w:numId w:val="2"/>
        </w:numPr>
        <w:spacing w:after="80" w:line="272"/>
      </w:pPr>
      <w:r>
        <w:rPr>
          <w:rFonts w:ascii="Calibri" w:cs="Calibri" w:eastAsia="Calibri" w:hAnsi="Calibri"/>
          <w:b/>
          <w:bCs/>
          <w:color w:val="1A1A2E"/>
          <w:sz w:val="22"/>
          <w:szCs w:val="22"/>
        </w:rPr>
        <w:t xml:space="preserve">Broken sitemap — </w:t>
      </w:r>
      <w:r>
        <w:rPr>
          <w:rFonts w:ascii="Calibri" w:cs="Calibri" w:eastAsia="Calibri" w:hAnsi="Calibri"/>
          <w:color w:val="1A1A2E"/>
          <w:sz w:val="22"/>
          <w:szCs w:val="22"/>
        </w:rPr>
        <w:t xml:space="preserve">/sitemap.xml returns the SPA HTML shell on Vercel because the catch‑all rewrite intercepts it before the Express route. Confirmed live. (§5.)</w:t>
      </w:r>
    </w:p>
    <w:p>
      <w:pPr>
        <w:pStyle w:val="ListParagraph"/>
        <w:numPr>
          <w:ilvl w:val="0"/>
          <w:numId w:val="2"/>
        </w:numPr>
        <w:spacing w:after="80" w:line="272"/>
      </w:pPr>
      <w:r>
        <w:rPr>
          <w:rFonts w:ascii="Calibri" w:cs="Calibri" w:eastAsia="Calibri" w:hAnsi="Calibri"/>
          <w:b/>
          <w:bCs/>
          <w:color w:val="1A1A2E"/>
          <w:sz w:val="22"/>
          <w:szCs w:val="22"/>
        </w:rPr>
        <w:t xml:space="preserve">Cross‑domain canonicals — </w:t>
      </w:r>
      <w:r>
        <w:rPr>
          <w:rFonts w:ascii="Calibri" w:cs="Calibri" w:eastAsia="Calibri" w:hAnsi="Calibri"/>
          <w:color w:val="1A1A2E"/>
          <w:sz w:val="22"/>
          <w:szCs w:val="22"/>
        </w:rPr>
        <w:t xml:space="preserve">canonical/OG URLs reference selestial.vercel.app, which now serves the unrelated “AURICLE” app; the store runs on selestial-lovat.vercel.app. (§5.)</w:t>
      </w:r>
    </w:p>
    <w:p>
      <w:pPr>
        <w:pStyle w:val="ListParagraph"/>
        <w:numPr>
          <w:ilvl w:val="0"/>
          <w:numId w:val="2"/>
        </w:numPr>
        <w:spacing w:after="80" w:line="272"/>
      </w:pPr>
      <w:r>
        <w:rPr>
          <w:rFonts w:ascii="Calibri" w:cs="Calibri" w:eastAsia="Calibri" w:hAnsi="Calibri"/>
          <w:b/>
          <w:bCs/>
          <w:color w:val="1A1A2E"/>
          <w:sz w:val="22"/>
          <w:szCs w:val="22"/>
        </w:rPr>
        <w:t xml:space="preserve">Homepage/catalog drift — </w:t>
      </w:r>
      <w:r>
        <w:rPr>
          <w:rFonts w:ascii="Calibri" w:cs="Calibri" w:eastAsia="Calibri" w:hAnsi="Calibri"/>
          <w:color w:val="1A1A2E"/>
          <w:sz w:val="22"/>
          <w:szCs w:val="22"/>
        </w:rPr>
        <w:t xml:space="preserve">the homepage “Our Picks” renders static mock products and links to /product/{mockId}; these may not match real catalog IDs and can dead‑end on “product not found”. (§4.)</w:t>
      </w:r>
    </w:p>
    <w:p>
      <w:pPr>
        <w:pStyle w:val="ListParagraph"/>
        <w:numPr>
          <w:ilvl w:val="0"/>
          <w:numId w:val="2"/>
        </w:numPr>
        <w:spacing w:after="80" w:line="272"/>
      </w:pPr>
      <w:r>
        <w:rPr>
          <w:rFonts w:ascii="Calibri" w:cs="Calibri" w:eastAsia="Calibri" w:hAnsi="Calibri"/>
          <w:b/>
          <w:bCs/>
          <w:color w:val="1A1A2E"/>
          <w:sz w:val="22"/>
          <w:szCs w:val="22"/>
        </w:rPr>
        <w:t xml:space="preserve">Missing customer address column — </w:t>
      </w:r>
      <w:r>
        <w:rPr>
          <w:rFonts w:ascii="Calibri" w:cs="Calibri" w:eastAsia="Calibri" w:hAnsi="Calibri"/>
          <w:color w:val="1A1A2E"/>
          <w:sz w:val="22"/>
          <w:szCs w:val="22"/>
        </w:rPr>
        <w:t xml:space="preserve">the auth layer selects and returns user.address, but the customers table has no address column (only orders does). The value is always undefined, so a saved address never pre‑fills checkout despite the “Pre‑filled from your profile” badge.</w:t>
      </w:r>
    </w:p>
    <w:p>
      <w:pPr>
        <w:pStyle w:val="ListParagraph"/>
        <w:numPr>
          <w:ilvl w:val="0"/>
          <w:numId w:val="2"/>
        </w:numPr>
        <w:spacing w:after="80" w:line="272"/>
      </w:pPr>
      <w:r>
        <w:rPr>
          <w:rFonts w:ascii="Calibri" w:cs="Calibri" w:eastAsia="Calibri" w:hAnsi="Calibri"/>
          <w:b/>
          <w:bCs/>
          <w:color w:val="1A1A2E"/>
          <w:sz w:val="22"/>
          <w:szCs w:val="22"/>
        </w:rPr>
        <w:t xml:space="preserve">Payment state mismatch — </w:t>
      </w:r>
      <w:r>
        <w:rPr>
          <w:rFonts w:ascii="Calibri" w:cs="Calibri" w:eastAsia="Calibri" w:hAnsi="Calibri"/>
          <w:color w:val="1A1A2E"/>
          <w:sz w:val="22"/>
          <w:szCs w:val="22"/>
        </w:rPr>
        <w:t xml:space="preserve">orders are always stored with payment status “Completed” even when Stripe is unconfigured and no charge occurred, while the UI says payment is “pending”. (§2.)</w:t>
      </w:r>
    </w:p>
    <w:p>
      <w:pPr>
        <w:pStyle w:val="ListParagraph"/>
        <w:numPr>
          <w:ilvl w:val="0"/>
          <w:numId w:val="2"/>
        </w:numPr>
        <w:spacing w:after="80" w:line="272"/>
      </w:pPr>
      <w:r>
        <w:rPr>
          <w:rFonts w:ascii="Calibri" w:cs="Calibri" w:eastAsia="Calibri" w:hAnsi="Calibri"/>
          <w:b/>
          <w:bCs/>
          <w:color w:val="1A1A2E"/>
          <w:sz w:val="22"/>
          <w:szCs w:val="22"/>
        </w:rPr>
        <w:t xml:space="preserve">Free checkout when Stripe is absent — </w:t>
      </w:r>
      <w:r>
        <w:rPr>
          <w:rFonts w:ascii="Calibri" w:cs="Calibri" w:eastAsia="Calibri" w:hAnsi="Calibri"/>
          <w:color w:val="1A1A2E"/>
          <w:sz w:val="22"/>
          <w:szCs w:val="22"/>
        </w:rPr>
        <w:t xml:space="preserve">with no Stripe keys, an order is created and inventory deducted without any payment step. (§2.)</w:t>
      </w:r>
    </w:p>
    <w:p>
      <w:pPr>
        <w:pStyle w:val="ListParagraph"/>
        <w:numPr>
          <w:ilvl w:val="0"/>
          <w:numId w:val="2"/>
        </w:numPr>
        <w:spacing w:after="80" w:line="272"/>
      </w:pPr>
      <w:r>
        <w:rPr>
          <w:rFonts w:ascii="Calibri" w:cs="Calibri" w:eastAsia="Calibri" w:hAnsi="Calibri"/>
          <w:b/>
          <w:bCs/>
          <w:color w:val="1A1A2E"/>
          <w:sz w:val="22"/>
          <w:szCs w:val="22"/>
        </w:rPr>
        <w:t xml:space="preserve">Inventory race / reset — </w:t>
      </w:r>
      <w:r>
        <w:rPr>
          <w:rFonts w:ascii="Calibri" w:cs="Calibri" w:eastAsia="Calibri" w:hAnsi="Calibri"/>
          <w:color w:val="1A1A2E"/>
          <w:sz w:val="22"/>
          <w:szCs w:val="22"/>
        </w:rPr>
        <w:t xml:space="preserve">stock check and decrement aren’t transactional (oversell risk), and on serverless cold starts the SQLite stock resets to the committed snapshot. (§2.)</w:t>
      </w:r>
    </w:p>
    <w:p>
      <w:pPr>
        <w:pStyle w:val="ListParagraph"/>
        <w:numPr>
          <w:ilvl w:val="0"/>
          <w:numId w:val="2"/>
        </w:numPr>
        <w:spacing w:after="80" w:line="272"/>
      </w:pPr>
      <w:r>
        <w:rPr>
          <w:rFonts w:ascii="Calibri" w:cs="Calibri" w:eastAsia="Calibri" w:hAnsi="Calibri"/>
          <w:b/>
          <w:bCs/>
          <w:color w:val="1A1A2E"/>
          <w:sz w:val="22"/>
          <w:szCs w:val="22"/>
        </w:rPr>
        <w:t xml:space="preserve">Conditional React hooks in Checkout — </w:t>
      </w:r>
      <w:r>
        <w:rPr>
          <w:rFonts w:ascii="Calibri" w:cs="Calibri" w:eastAsia="Calibri" w:hAnsi="Calibri"/>
          <w:color w:val="1A1A2E"/>
          <w:sz w:val="22"/>
          <w:szCs w:val="22"/>
        </w:rPr>
        <w:t xml:space="preserve">useStripe()/useElements() are called inside a conditional; it only avoids a crash because the condition is a module‑level constant. Fragile and a lint violation.</w:t>
      </w:r>
    </w:p>
    <w:p>
      <w:pPr>
        <w:pStyle w:val="ListParagraph"/>
        <w:numPr>
          <w:ilvl w:val="0"/>
          <w:numId w:val="2"/>
        </w:numPr>
        <w:spacing w:after="80" w:line="272"/>
      </w:pPr>
      <w:r>
        <w:rPr>
          <w:rFonts w:ascii="Calibri" w:cs="Calibri" w:eastAsia="Calibri" w:hAnsi="Calibri"/>
          <w:b/>
          <w:bCs/>
          <w:color w:val="1A1A2E"/>
          <w:sz w:val="22"/>
          <w:szCs w:val="22"/>
        </w:rPr>
        <w:t xml:space="preserve">Unused heavy dependencies — </w:t>
      </w:r>
      <w:r>
        <w:rPr>
          <w:rFonts w:ascii="Calibri" w:cs="Calibri" w:eastAsia="Calibri" w:hAnsi="Calibri"/>
          <w:color w:val="1A1A2E"/>
          <w:sz w:val="22"/>
          <w:szCs w:val="22"/>
        </w:rPr>
        <w:t xml:space="preserve">three, @react-three/fiber and @react-three/drei are installed but never imported (the “canvas background” is an empty div), adding install weight and audit surface for no benefit.</w:t>
      </w:r>
    </w:p>
    <w:p>
      <w:pPr>
        <w:pStyle w:val="ListParagraph"/>
        <w:numPr>
          <w:ilvl w:val="0"/>
          <w:numId w:val="2"/>
        </w:numPr>
        <w:spacing w:after="80" w:line="272"/>
      </w:pPr>
      <w:r>
        <w:rPr>
          <w:rFonts w:ascii="Calibri" w:cs="Calibri" w:eastAsia="Calibri" w:hAnsi="Calibri"/>
          <w:b/>
          <w:bCs/>
          <w:color w:val="1A1A2E"/>
          <w:sz w:val="22"/>
          <w:szCs w:val="22"/>
        </w:rPr>
        <w:t xml:space="preserve">Runtime/tooling mismatches — </w:t>
      </w:r>
      <w:r>
        <w:rPr>
          <w:rFonts w:ascii="Calibri" w:cs="Calibri" w:eastAsia="Calibri" w:hAnsi="Calibri"/>
          <w:color w:val="1A1A2E"/>
          <w:sz w:val="22"/>
          <w:szCs w:val="22"/>
        </w:rPr>
        <w:t xml:space="preserve">package.json pins Node 22.x while the Vercel project targets 24.x; node:sqlite is still an experimental API; react-helmet-async ^3.0.0 is an unusual pairing with React 19 (likely the root cause of the metadata bug).</w:t>
      </w:r>
    </w:p>
    <w:p>
      <w:pPr>
        <w:pStyle w:val="ListParagraph"/>
        <w:numPr>
          <w:ilvl w:val="0"/>
          <w:numId w:val="2"/>
        </w:numPr>
        <w:spacing w:after="80" w:line="272"/>
      </w:pPr>
      <w:r>
        <w:rPr>
          <w:rFonts w:ascii="Calibri" w:cs="Calibri" w:eastAsia="Calibri" w:hAnsi="Calibri"/>
          <w:b/>
          <w:bCs/>
          <w:color w:val="1A1A2E"/>
          <w:sz w:val="22"/>
          <w:szCs w:val="22"/>
        </w:rPr>
        <w:t xml:space="preserve">Dead placeholder links — </w:t>
      </w:r>
      <w:r>
        <w:rPr>
          <w:rFonts w:ascii="Calibri" w:cs="Calibri" w:eastAsia="Calibri" w:hAnsi="Calibri"/>
          <w:color w:val="1A1A2E"/>
          <w:sz w:val="22"/>
          <w:szCs w:val="22"/>
        </w:rPr>
        <w:t xml:space="preserve">mobile‑menu social links point to # rather than real destinations. (§3.)</w:t>
      </w:r>
    </w:p>
    <w:p>
      <w:pPr>
        <w:pStyle w:val="Heading1"/>
        <w:pBdr>
          <w:bottom w:val="single" w:color="6D5BD0" w:sz="10" w:space="4"/>
        </w:pBdr>
        <w:spacing w:after="140" w:before="320"/>
      </w:pPr>
      <w:r>
        <w:rPr>
          <w:rFonts w:ascii="Calibri" w:cs="Calibri" w:eastAsia="Calibri" w:hAnsi="Calibri"/>
          <w:b/>
          <w:bCs/>
          <w:color w:val="2E2A5E"/>
          <w:sz w:val="30"/>
          <w:szCs w:val="30"/>
        </w:rPr>
        <w:t xml:space="preserve">7. Conclusion</w:t>
      </w:r>
    </w:p>
    <w:p>
      <w:pPr>
        <w:spacing w:after="120" w:before="0" w:line="276"/>
      </w:pPr>
      <w:r>
        <w:rPr>
          <w:rFonts w:ascii="Calibri" w:cs="Calibri" w:eastAsia="Calibri" w:hAnsi="Calibri"/>
          <w:b w:val="false"/>
          <w:bCs w:val="false"/>
          <w:i w:val="false"/>
          <w:iCs w:val="false"/>
          <w:color w:val="1A1A2E"/>
          <w:sz w:val="22"/>
          <w:szCs w:val="22"/>
        </w:rPr>
        <w:t xml:space="preserve">Selestial is a capable, attractive build that is closer to production‑ready than its problems might suggest. The visual design, component architecture, accessibility groundwork, defensive middleware, and the presence of a passing test suite all point to a developer who cares about quality. What holds the project back is a short list of high‑impact defects concentrated in three places: authentication, data durability, and metadata rendering.</w:t>
      </w:r>
    </w:p>
    <w:p>
      <w:pPr>
        <w:spacing w:after="120" w:before="0" w:line="276"/>
      </w:pPr>
      <w:r>
        <w:rPr>
          <w:rFonts w:ascii="Calibri" w:cs="Calibri" w:eastAsia="Calibri" w:hAnsi="Calibri"/>
          <w:b w:val="false"/>
          <w:bCs w:val="false"/>
          <w:i w:val="false"/>
          <w:iCs w:val="false"/>
          <w:color w:val="1A1A2E"/>
          <w:sz w:val="22"/>
          <w:szCs w:val="22"/>
        </w:rPr>
        <w:t xml:space="preserve">If only a few things are addressed, they should be, in order: (1) stop trusting the client‑supplied auth_provider field so customer login always verifies a real credential; (2) remove the SQLite database (with its customer PII and hashes) from version control and move durable data off the ephemeral filesystem, while ensuring a strong admin password is always set; and (3) repair the metadata layer so each page emits a single correct title and canonical, point those canonicals at the real domain, and restore a working sitemap. These three changes alone would lift Security and SEO substantially and de‑risk the launch.</w:t>
      </w:r>
    </w:p>
    <w:p>
      <w:pPr>
        <w:spacing w:after="120" w:before="0" w:line="276"/>
      </w:pPr>
      <w:r>
        <w:rPr>
          <w:rFonts w:ascii="Calibri" w:cs="Calibri" w:eastAsia="Calibri" w:hAnsi="Calibri"/>
          <w:b w:val="false"/>
          <w:bCs w:val="false"/>
          <w:i w:val="false"/>
          <w:iCs w:val="false"/>
          <w:color w:val="1A1A2E"/>
          <w:sz w:val="22"/>
          <w:szCs w:val="22"/>
        </w:rPr>
        <w:t xml:space="preserve">The remaining items — semantic links for product cards, keyboard‑accessible menus, reconciling the homepage with the live catalog, honest payment status, and pruning unused dependencies — are comparatively quick wins that would push UI/UX and Content from “good” to “excellent”.</w:t>
      </w:r>
    </w:p>
    <w:p>
      <w:pPr>
        <w:spacing w:after="40"/>
      </w:pPr>
      <w:r>
        <w:rPr>
          <w:rFonts w:ascii="Calibri" w:cs="Calibri" w:eastAsia="Calibri" w:hAnsi="Calibri"/>
          <w:sz w:val="2"/>
          <w:szCs w:val="2"/>
        </w:rPr>
        <w:t xml:space="preserve"/>
      </w:r>
    </w:p>
    <w:p>
      <w:pPr>
        <w:pStyle w:val="Heading2"/>
        <w:spacing w:after="90" w:before="220"/>
      </w:pPr>
      <w:r>
        <w:rPr>
          <w:rFonts w:ascii="Calibri" w:cs="Calibri" w:eastAsia="Calibri" w:hAnsi="Calibri"/>
          <w:b/>
          <w:bCs/>
          <w:color w:val="2E2A5E"/>
          <w:sz w:val="24"/>
          <w:szCs w:val="24"/>
        </w:rPr>
        <w:t xml:space="preserve">Score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rPr>
          <w:tblHeader/>
        </w:trPr>
        <w:tc>
          <w:tcPr>
            <w:tcW w:type="dxa" w:w="3200"/>
            <w:tcBorders>
              <w:top w:val="single" w:color="C9C7DD" w:sz="1"/>
              <w:left w:val="single" w:color="C9C7DD" w:sz="1"/>
              <w:bottom w:val="single" w:color="C9C7DD" w:sz="1"/>
              <w:right w:val="single" w:color="C9C7DD" w:sz="1"/>
            </w:tcBorders>
            <w:shd w:fill="2E2A5E" w:color="auto" w:val="clear"/>
            <w:tcMar>
              <w:top w:type="dxa" w:w="70"/>
              <w:left w:type="dxa" w:w="110"/>
              <w:bottom w:type="dxa" w:w="70"/>
              <w:right w:type="dxa" w:w="110"/>
            </w:tcMar>
            <w:vAlign w:val="center"/>
          </w:tcPr>
          <w:p>
            <w:pPr>
              <w:spacing w:after="0" w:line="264"/>
            </w:pPr>
            <w:r>
              <w:rPr>
                <w:rFonts w:ascii="Calibri" w:cs="Calibri" w:eastAsia="Calibri" w:hAnsi="Calibri"/>
                <w:b/>
                <w:bCs/>
                <w:color w:val="FFFFFF"/>
                <w:sz w:val="20"/>
                <w:szCs w:val="20"/>
              </w:rPr>
              <w:t xml:space="preserve">Category</w:t>
            </w:r>
          </w:p>
        </w:tc>
        <w:tc>
          <w:tcPr>
            <w:tcW w:type="dxa" w:w="1400"/>
            <w:tcBorders>
              <w:top w:val="single" w:color="C9C7DD" w:sz="1"/>
              <w:left w:val="single" w:color="C9C7DD" w:sz="1"/>
              <w:bottom w:val="single" w:color="C9C7DD" w:sz="1"/>
              <w:right w:val="single" w:color="C9C7DD" w:sz="1"/>
            </w:tcBorders>
            <w:shd w:fill="2E2A5E" w:color="auto" w:val="clear"/>
            <w:tcMar>
              <w:top w:type="dxa" w:w="70"/>
              <w:left w:type="dxa" w:w="110"/>
              <w:bottom w:type="dxa" w:w="70"/>
              <w:right w:type="dxa" w:w="110"/>
            </w:tcMar>
            <w:vAlign w:val="center"/>
          </w:tcPr>
          <w:p>
            <w:pPr>
              <w:spacing w:after="0" w:line="264"/>
              <w:jc w:val="center"/>
            </w:pPr>
            <w:r>
              <w:rPr>
                <w:rFonts w:ascii="Calibri" w:cs="Calibri" w:eastAsia="Calibri" w:hAnsi="Calibri"/>
                <w:b/>
                <w:bCs/>
                <w:color w:val="FFFFFF"/>
                <w:sz w:val="20"/>
                <w:szCs w:val="20"/>
              </w:rPr>
              <w:t xml:space="preserve">Score</w:t>
            </w:r>
          </w:p>
        </w:tc>
        <w:tc>
          <w:tcPr>
            <w:tcW w:type="dxa" w:w="4760"/>
            <w:tcBorders>
              <w:top w:val="single" w:color="C9C7DD" w:sz="1"/>
              <w:left w:val="single" w:color="C9C7DD" w:sz="1"/>
              <w:bottom w:val="single" w:color="C9C7DD" w:sz="1"/>
              <w:right w:val="single" w:color="C9C7DD" w:sz="1"/>
            </w:tcBorders>
            <w:shd w:fill="2E2A5E" w:color="auto" w:val="clear"/>
            <w:tcMar>
              <w:top w:type="dxa" w:w="70"/>
              <w:left w:type="dxa" w:w="110"/>
              <w:bottom w:type="dxa" w:w="70"/>
              <w:right w:type="dxa" w:w="110"/>
            </w:tcMar>
            <w:vAlign w:val="center"/>
          </w:tcPr>
          <w:p>
            <w:pPr>
              <w:spacing w:after="0" w:line="264"/>
            </w:pPr>
            <w:r>
              <w:rPr>
                <w:rFonts w:ascii="Calibri" w:cs="Calibri" w:eastAsia="Calibri" w:hAnsi="Calibri"/>
                <w:b/>
                <w:bCs/>
                <w:color w:val="FFFFFF"/>
                <w:sz w:val="20"/>
                <w:szCs w:val="20"/>
              </w:rPr>
              <w:t xml:space="preserve">Headline</w:t>
            </w:r>
          </w:p>
        </w:tc>
      </w:tr>
      <w:tr>
        <w:tc>
          <w:tcPr>
            <w:tcW w:type="dxa" w:w="3200"/>
            <w:tcBorders>
              <w:top w:val="single" w:color="C9C7DD" w:sz="1"/>
              <w:left w:val="single" w:color="C9C7DD" w:sz="1"/>
              <w:bottom w:val="single" w:color="C9C7DD" w:sz="1"/>
              <w:right w:val="single" w:color="C9C7DD" w:sz="1"/>
            </w:tcBorders>
            <w:tcMar>
              <w:top w:type="dxa" w:w="70"/>
              <w:left w:type="dxa" w:w="110"/>
              <w:bottom w:type="dxa" w:w="70"/>
              <w:right w:type="dxa" w:w="110"/>
            </w:tcMar>
            <w:vAlign w:val="center"/>
          </w:tcPr>
          <w:p>
            <w:pPr>
              <w:spacing w:after="0" w:line="264"/>
            </w:pPr>
            <w:r>
              <w:rPr>
                <w:rFonts w:ascii="Calibri" w:cs="Calibri" w:eastAsia="Calibri" w:hAnsi="Calibri"/>
                <w:b w:val="false"/>
                <w:bCs w:val="false"/>
                <w:color w:val="1A1A2E"/>
                <w:sz w:val="21"/>
                <w:szCs w:val="21"/>
              </w:rPr>
              <w:t xml:space="preserve">Security</w:t>
            </w:r>
          </w:p>
        </w:tc>
        <w:tc>
          <w:tcPr>
            <w:tcW w:type="dxa" w:w="1400"/>
            <w:tcBorders>
              <w:top w:val="single" w:color="C9C7DD" w:sz="1"/>
              <w:left w:val="single" w:color="C9C7DD" w:sz="1"/>
              <w:bottom w:val="single" w:color="C9C7DD" w:sz="1"/>
              <w:right w:val="single" w:color="C9C7DD" w:sz="1"/>
            </w:tcBorders>
            <w:tcMar>
              <w:top w:type="dxa" w:w="70"/>
              <w:left w:type="dxa" w:w="110"/>
              <w:bottom w:type="dxa" w:w="70"/>
              <w:right w:type="dxa" w:w="110"/>
            </w:tcMar>
            <w:vAlign w:val="center"/>
          </w:tcPr>
          <w:p>
            <w:pPr>
              <w:spacing w:after="0"/>
              <w:jc w:val="center"/>
            </w:pPr>
            <w:r>
              <w:rPr>
                <w:rFonts w:ascii="Calibri" w:cs="Calibri" w:eastAsia="Calibri" w:hAnsi="Calibri"/>
                <w:b/>
                <w:bCs/>
                <w:color w:val="B00020"/>
                <w:sz w:val="22"/>
                <w:szCs w:val="22"/>
              </w:rPr>
              <w:t xml:space="preserve">4/10</w:t>
            </w:r>
          </w:p>
        </w:tc>
        <w:tc>
          <w:tcPr>
            <w:tcW w:type="dxa" w:w="4760"/>
            <w:tcBorders>
              <w:top w:val="single" w:color="C9C7DD" w:sz="1"/>
              <w:left w:val="single" w:color="C9C7DD" w:sz="1"/>
              <w:bottom w:val="single" w:color="C9C7DD" w:sz="1"/>
              <w:right w:val="single" w:color="C9C7DD" w:sz="1"/>
            </w:tcBorders>
            <w:tcMar>
              <w:top w:type="dxa" w:w="70"/>
              <w:left w:type="dxa" w:w="110"/>
              <w:bottom w:type="dxa" w:w="70"/>
              <w:right w:type="dxa" w:w="110"/>
            </w:tcMar>
            <w:vAlign w:val="center"/>
          </w:tcPr>
          <w:p>
            <w:pPr>
              <w:spacing w:after="0" w:line="264"/>
            </w:pPr>
            <w:r>
              <w:rPr>
                <w:rFonts w:ascii="Calibri" w:cs="Calibri" w:eastAsia="Calibri" w:hAnsi="Calibri"/>
                <w:b w:val="false"/>
                <w:bCs w:val="false"/>
                <w:color w:val="1A1A2E"/>
                <w:sz w:val="20"/>
                <w:szCs w:val="20"/>
              </w:rPr>
              <w:t xml:space="preserve">Auth bypass + PII in version control outweigh otherwise strong hygiene.</w:t>
            </w:r>
          </w:p>
        </w:tc>
      </w:tr>
      <w:tr>
        <w:tc>
          <w:tcPr>
            <w:tcW w:type="dxa" w:w="3200"/>
            <w:tcBorders>
              <w:top w:val="single" w:color="C9C7DD" w:sz="1"/>
              <w:left w:val="single" w:color="C9C7DD" w:sz="1"/>
              <w:bottom w:val="single" w:color="C9C7DD" w:sz="1"/>
              <w:right w:val="single" w:color="C9C7DD" w:sz="1"/>
            </w:tcBorders>
            <w:shd w:fill="F7F6FB" w:color="auto" w:val="clear"/>
            <w:tcMar>
              <w:top w:type="dxa" w:w="70"/>
              <w:left w:type="dxa" w:w="110"/>
              <w:bottom w:type="dxa" w:w="70"/>
              <w:right w:type="dxa" w:w="110"/>
            </w:tcMar>
            <w:vAlign w:val="center"/>
          </w:tcPr>
          <w:p>
            <w:pPr>
              <w:spacing w:after="0" w:line="264"/>
            </w:pPr>
            <w:r>
              <w:rPr>
                <w:rFonts w:ascii="Calibri" w:cs="Calibri" w:eastAsia="Calibri" w:hAnsi="Calibri"/>
                <w:b w:val="false"/>
                <w:bCs w:val="false"/>
                <w:color w:val="1A1A2E"/>
                <w:sz w:val="21"/>
                <w:szCs w:val="21"/>
              </w:rPr>
              <w:t xml:space="preserve">UI/UX Design</w:t>
            </w:r>
          </w:p>
        </w:tc>
        <w:tc>
          <w:tcPr>
            <w:tcW w:type="dxa" w:w="1400"/>
            <w:tcBorders>
              <w:top w:val="single" w:color="C9C7DD" w:sz="1"/>
              <w:left w:val="single" w:color="C9C7DD" w:sz="1"/>
              <w:bottom w:val="single" w:color="C9C7DD" w:sz="1"/>
              <w:right w:val="single" w:color="C9C7DD" w:sz="1"/>
            </w:tcBorders>
            <w:shd w:fill="F7F6FB" w:color="auto" w:val="clear"/>
            <w:tcMar>
              <w:top w:type="dxa" w:w="70"/>
              <w:left w:type="dxa" w:w="110"/>
              <w:bottom w:type="dxa" w:w="70"/>
              <w:right w:type="dxa" w:w="110"/>
            </w:tcMar>
            <w:vAlign w:val="center"/>
          </w:tcPr>
          <w:p>
            <w:pPr>
              <w:spacing w:after="0"/>
              <w:jc w:val="center"/>
            </w:pPr>
            <w:r>
              <w:rPr>
                <w:rFonts w:ascii="Calibri" w:cs="Calibri" w:eastAsia="Calibri" w:hAnsi="Calibri"/>
                <w:b/>
                <w:bCs/>
                <w:color w:val="15803D"/>
                <w:sz w:val="22"/>
                <w:szCs w:val="22"/>
              </w:rPr>
              <w:t xml:space="preserve">7/10</w:t>
            </w:r>
          </w:p>
        </w:tc>
        <w:tc>
          <w:tcPr>
            <w:tcW w:type="dxa" w:w="4760"/>
            <w:tcBorders>
              <w:top w:val="single" w:color="C9C7DD" w:sz="1"/>
              <w:left w:val="single" w:color="C9C7DD" w:sz="1"/>
              <w:bottom w:val="single" w:color="C9C7DD" w:sz="1"/>
              <w:right w:val="single" w:color="C9C7DD" w:sz="1"/>
            </w:tcBorders>
            <w:shd w:fill="F7F6FB" w:color="auto" w:val="clear"/>
            <w:tcMar>
              <w:top w:type="dxa" w:w="70"/>
              <w:left w:type="dxa" w:w="110"/>
              <w:bottom w:type="dxa" w:w="70"/>
              <w:right w:type="dxa" w:w="110"/>
            </w:tcMar>
            <w:vAlign w:val="center"/>
          </w:tcPr>
          <w:p>
            <w:pPr>
              <w:spacing w:after="0" w:line="264"/>
            </w:pPr>
            <w:r>
              <w:rPr>
                <w:rFonts w:ascii="Calibri" w:cs="Calibri" w:eastAsia="Calibri" w:hAnsi="Calibri"/>
                <w:b w:val="false"/>
                <w:bCs w:val="false"/>
                <w:color w:val="1A1A2E"/>
                <w:sz w:val="20"/>
                <w:szCs w:val="20"/>
              </w:rPr>
              <w:t xml:space="preserve">Polished and largely accessible; fix non‑semantic cards &amp; hover menus.</w:t>
            </w:r>
          </w:p>
        </w:tc>
      </w:tr>
      <w:tr>
        <w:tc>
          <w:tcPr>
            <w:tcW w:type="dxa" w:w="3200"/>
            <w:tcBorders>
              <w:top w:val="single" w:color="C9C7DD" w:sz="1"/>
              <w:left w:val="single" w:color="C9C7DD" w:sz="1"/>
              <w:bottom w:val="single" w:color="C9C7DD" w:sz="1"/>
              <w:right w:val="single" w:color="C9C7DD" w:sz="1"/>
            </w:tcBorders>
            <w:tcMar>
              <w:top w:type="dxa" w:w="70"/>
              <w:left w:type="dxa" w:w="110"/>
              <w:bottom w:type="dxa" w:w="70"/>
              <w:right w:type="dxa" w:w="110"/>
            </w:tcMar>
            <w:vAlign w:val="center"/>
          </w:tcPr>
          <w:p>
            <w:pPr>
              <w:spacing w:after="0" w:line="264"/>
            </w:pPr>
            <w:r>
              <w:rPr>
                <w:rFonts w:ascii="Calibri" w:cs="Calibri" w:eastAsia="Calibri" w:hAnsi="Calibri"/>
                <w:b w:val="false"/>
                <w:bCs w:val="false"/>
                <w:color w:val="1A1A2E"/>
                <w:sz w:val="21"/>
                <w:szCs w:val="21"/>
              </w:rPr>
              <w:t xml:space="preserve">Content</w:t>
            </w:r>
          </w:p>
        </w:tc>
        <w:tc>
          <w:tcPr>
            <w:tcW w:type="dxa" w:w="1400"/>
            <w:tcBorders>
              <w:top w:val="single" w:color="C9C7DD" w:sz="1"/>
              <w:left w:val="single" w:color="C9C7DD" w:sz="1"/>
              <w:bottom w:val="single" w:color="C9C7DD" w:sz="1"/>
              <w:right w:val="single" w:color="C9C7DD" w:sz="1"/>
            </w:tcBorders>
            <w:tcMar>
              <w:top w:type="dxa" w:w="70"/>
              <w:left w:type="dxa" w:w="110"/>
              <w:bottom w:type="dxa" w:w="70"/>
              <w:right w:type="dxa" w:w="110"/>
            </w:tcMar>
            <w:vAlign w:val="center"/>
          </w:tcPr>
          <w:p>
            <w:pPr>
              <w:spacing w:after="0"/>
              <w:jc w:val="center"/>
            </w:pPr>
            <w:r>
              <w:rPr>
                <w:rFonts w:ascii="Calibri" w:cs="Calibri" w:eastAsia="Calibri" w:hAnsi="Calibri"/>
                <w:b/>
                <w:bCs/>
                <w:color w:val="B45309"/>
                <w:sz w:val="22"/>
                <w:szCs w:val="22"/>
              </w:rPr>
              <w:t xml:space="preserve">6/10</w:t>
            </w:r>
          </w:p>
        </w:tc>
        <w:tc>
          <w:tcPr>
            <w:tcW w:type="dxa" w:w="4760"/>
            <w:tcBorders>
              <w:top w:val="single" w:color="C9C7DD" w:sz="1"/>
              <w:left w:val="single" w:color="C9C7DD" w:sz="1"/>
              <w:bottom w:val="single" w:color="C9C7DD" w:sz="1"/>
              <w:right w:val="single" w:color="C9C7DD" w:sz="1"/>
            </w:tcBorders>
            <w:tcMar>
              <w:top w:type="dxa" w:w="70"/>
              <w:left w:type="dxa" w:w="110"/>
              <w:bottom w:type="dxa" w:w="70"/>
              <w:right w:type="dxa" w:w="110"/>
            </w:tcMar>
            <w:vAlign w:val="center"/>
          </w:tcPr>
          <w:p>
            <w:pPr>
              <w:spacing w:after="0" w:line="264"/>
            </w:pPr>
            <w:r>
              <w:rPr>
                <w:rFonts w:ascii="Calibri" w:cs="Calibri" w:eastAsia="Calibri" w:hAnsi="Calibri"/>
                <w:b w:val="false"/>
                <w:bCs w:val="false"/>
                <w:color w:val="1A1A2E"/>
                <w:sz w:val="20"/>
                <w:szCs w:val="20"/>
              </w:rPr>
              <w:t xml:space="preserve">On‑brand and complete; resolve homepage/catalog drift.</w:t>
            </w:r>
          </w:p>
        </w:tc>
      </w:tr>
      <w:tr>
        <w:tc>
          <w:tcPr>
            <w:tcW w:type="dxa" w:w="3200"/>
            <w:tcBorders>
              <w:top w:val="single" w:color="C9C7DD" w:sz="1"/>
              <w:left w:val="single" w:color="C9C7DD" w:sz="1"/>
              <w:bottom w:val="single" w:color="C9C7DD" w:sz="1"/>
              <w:right w:val="single" w:color="C9C7DD" w:sz="1"/>
            </w:tcBorders>
            <w:shd w:fill="F7F6FB" w:color="auto" w:val="clear"/>
            <w:tcMar>
              <w:top w:type="dxa" w:w="70"/>
              <w:left w:type="dxa" w:w="110"/>
              <w:bottom w:type="dxa" w:w="70"/>
              <w:right w:type="dxa" w:w="110"/>
            </w:tcMar>
            <w:vAlign w:val="center"/>
          </w:tcPr>
          <w:p>
            <w:pPr>
              <w:spacing w:after="0" w:line="264"/>
            </w:pPr>
            <w:r>
              <w:rPr>
                <w:rFonts w:ascii="Calibri" w:cs="Calibri" w:eastAsia="Calibri" w:hAnsi="Calibri"/>
                <w:b w:val="false"/>
                <w:bCs w:val="false"/>
                <w:color w:val="1A1A2E"/>
                <w:sz w:val="21"/>
                <w:szCs w:val="21"/>
              </w:rPr>
              <w:t xml:space="preserve">SEO / AEO / GEO</w:t>
            </w:r>
          </w:p>
        </w:tc>
        <w:tc>
          <w:tcPr>
            <w:tcW w:type="dxa" w:w="1400"/>
            <w:tcBorders>
              <w:top w:val="single" w:color="C9C7DD" w:sz="1"/>
              <w:left w:val="single" w:color="C9C7DD" w:sz="1"/>
              <w:bottom w:val="single" w:color="C9C7DD" w:sz="1"/>
              <w:right w:val="single" w:color="C9C7DD" w:sz="1"/>
            </w:tcBorders>
            <w:shd w:fill="F7F6FB" w:color="auto" w:val="clear"/>
            <w:tcMar>
              <w:top w:type="dxa" w:w="70"/>
              <w:left w:type="dxa" w:w="110"/>
              <w:bottom w:type="dxa" w:w="70"/>
              <w:right w:type="dxa" w:w="110"/>
            </w:tcMar>
            <w:vAlign w:val="center"/>
          </w:tcPr>
          <w:p>
            <w:pPr>
              <w:spacing w:after="0"/>
              <w:jc w:val="center"/>
            </w:pPr>
            <w:r>
              <w:rPr>
                <w:rFonts w:ascii="Calibri" w:cs="Calibri" w:eastAsia="Calibri" w:hAnsi="Calibri"/>
                <w:b/>
                <w:bCs/>
                <w:color w:val="B00020"/>
                <w:sz w:val="22"/>
                <w:szCs w:val="22"/>
              </w:rPr>
              <w:t xml:space="preserve">3/10</w:t>
            </w:r>
          </w:p>
        </w:tc>
        <w:tc>
          <w:tcPr>
            <w:tcW w:type="dxa" w:w="4760"/>
            <w:tcBorders>
              <w:top w:val="single" w:color="C9C7DD" w:sz="1"/>
              <w:left w:val="single" w:color="C9C7DD" w:sz="1"/>
              <w:bottom w:val="single" w:color="C9C7DD" w:sz="1"/>
              <w:right w:val="single" w:color="C9C7DD" w:sz="1"/>
            </w:tcBorders>
            <w:shd w:fill="F7F6FB" w:color="auto" w:val="clear"/>
            <w:tcMar>
              <w:top w:type="dxa" w:w="70"/>
              <w:left w:type="dxa" w:w="110"/>
              <w:bottom w:type="dxa" w:w="70"/>
              <w:right w:type="dxa" w:w="110"/>
            </w:tcMar>
            <w:vAlign w:val="center"/>
          </w:tcPr>
          <w:p>
            <w:pPr>
              <w:spacing w:after="0" w:line="264"/>
            </w:pPr>
            <w:r>
              <w:rPr>
                <w:rFonts w:ascii="Calibri" w:cs="Calibri" w:eastAsia="Calibri" w:hAnsi="Calibri"/>
                <w:b w:val="false"/>
                <w:bCs w:val="false"/>
                <w:color w:val="1A1A2E"/>
                <w:sz w:val="20"/>
                <w:szCs w:val="20"/>
              </w:rPr>
              <w:t xml:space="preserve">Great intent, broken rendering, wrong canonicals, dead sitemap.</w:t>
            </w:r>
          </w:p>
        </w:tc>
      </w:tr>
      <w:tr>
        <w:tc>
          <w:tcPr>
            <w:tcW w:type="dxa" w:w="3200"/>
            <w:tcBorders>
              <w:top w:val="single" w:color="C9C7DD" w:sz="1"/>
              <w:left w:val="single" w:color="C9C7DD" w:sz="1"/>
              <w:bottom w:val="single" w:color="C9C7DD" w:sz="1"/>
              <w:right w:val="single" w:color="C9C7DD" w:sz="1"/>
            </w:tcBorders>
            <w:tcMar>
              <w:top w:type="dxa" w:w="70"/>
              <w:left w:type="dxa" w:w="110"/>
              <w:bottom w:type="dxa" w:w="70"/>
              <w:right w:type="dxa" w:w="110"/>
            </w:tcMar>
            <w:vAlign w:val="center"/>
          </w:tcPr>
          <w:p>
            <w:pPr>
              <w:spacing w:after="0" w:line="264"/>
            </w:pPr>
            <w:r>
              <w:rPr>
                <w:rFonts w:ascii="Calibri" w:cs="Calibri" w:eastAsia="Calibri" w:hAnsi="Calibri"/>
                <w:b/>
                <w:bCs/>
                <w:color w:val="2E2A5E"/>
                <w:sz w:val="21"/>
                <w:szCs w:val="21"/>
              </w:rPr>
              <w:t xml:space="preserve">Overall</w:t>
            </w:r>
          </w:p>
        </w:tc>
        <w:tc>
          <w:tcPr>
            <w:tcW w:type="dxa" w:w="1400"/>
            <w:tcBorders>
              <w:top w:val="single" w:color="C9C7DD" w:sz="1"/>
              <w:left w:val="single" w:color="C9C7DD" w:sz="1"/>
              <w:bottom w:val="single" w:color="C9C7DD" w:sz="1"/>
              <w:right w:val="single" w:color="C9C7DD" w:sz="1"/>
            </w:tcBorders>
            <w:tcMar>
              <w:top w:type="dxa" w:w="70"/>
              <w:left w:type="dxa" w:w="110"/>
              <w:bottom w:type="dxa" w:w="70"/>
              <w:right w:type="dxa" w:w="110"/>
            </w:tcMar>
            <w:vAlign w:val="center"/>
          </w:tcPr>
          <w:p>
            <w:pPr>
              <w:spacing w:after="0"/>
              <w:jc w:val="center"/>
            </w:pPr>
            <w:r>
              <w:rPr>
                <w:rFonts w:ascii="Calibri" w:cs="Calibri" w:eastAsia="Calibri" w:hAnsi="Calibri"/>
                <w:b/>
                <w:bCs/>
                <w:color w:val="B45309"/>
                <w:sz w:val="22"/>
                <w:szCs w:val="22"/>
              </w:rPr>
              <w:t xml:space="preserve">5/10</w:t>
            </w:r>
          </w:p>
        </w:tc>
        <w:tc>
          <w:tcPr>
            <w:tcW w:type="dxa" w:w="4760"/>
            <w:tcBorders>
              <w:top w:val="single" w:color="C9C7DD" w:sz="1"/>
              <w:left w:val="single" w:color="C9C7DD" w:sz="1"/>
              <w:bottom w:val="single" w:color="C9C7DD" w:sz="1"/>
              <w:right w:val="single" w:color="C9C7DD" w:sz="1"/>
            </w:tcBorders>
            <w:tcMar>
              <w:top w:type="dxa" w:w="70"/>
              <w:left w:type="dxa" w:w="110"/>
              <w:bottom w:type="dxa" w:w="70"/>
              <w:right w:type="dxa" w:w="110"/>
            </w:tcMar>
            <w:vAlign w:val="center"/>
          </w:tcPr>
          <w:p>
            <w:pPr>
              <w:spacing w:after="0" w:line="264"/>
            </w:pPr>
            <w:r>
              <w:rPr>
                <w:rFonts w:ascii="Calibri" w:cs="Calibri" w:eastAsia="Calibri" w:hAnsi="Calibri"/>
                <w:b w:val="false"/>
                <w:bCs w:val="false"/>
                <w:color w:val="1A1A2E"/>
                <w:sz w:val="20"/>
                <w:szCs w:val="20"/>
              </w:rPr>
              <w:t xml:space="preserve">Promising near‑launch build; three fixes would change the trajectory.</w:t>
            </w:r>
          </w:p>
        </w:tc>
      </w:tr>
    </w:tbl>
    <w:p>
      <w:pPr>
        <w:spacing w:after="60"/>
      </w:pPr>
      <w:r>
        <w:rPr>
          <w:rFonts w:ascii="Calibri" w:cs="Calibri" w:eastAsia="Calibri" w:hAnsi="Calibri"/>
          <w:sz w:val="2"/>
          <w:szCs w:val="2"/>
        </w:rPr>
        <w:t xml:space="preserve"/>
      </w:r>
    </w:p>
    <w:p>
      <w:pPr>
        <w:pBdr>
          <w:top w:val="single" w:color="C9C7DD" w:sz="8" w:space="6"/>
        </w:pBdr>
        <w:spacing w:before="120"/>
        <w:jc w:val="center"/>
      </w:pPr>
      <w:r>
        <w:rPr>
          <w:rFonts w:ascii="Calibri" w:cs="Calibri" w:eastAsia="Calibri" w:hAnsi="Calibri"/>
          <w:i/>
          <w:iCs/>
          <w:color w:val="6B7280"/>
          <w:sz w:val="16"/>
          <w:szCs w:val="16"/>
        </w:rPr>
        <w:t xml:space="preserve">End of report · Prepared 17 June 2026 · Findings reflect the codebase and live deployment at the time of review.</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C7DD" w:sz="4" w:space="4"/>
      </w:pBdr>
      <w:spacing w:before="0"/>
      <w:jc w:val="center"/>
    </w:pPr>
    <w:r>
      <w:rPr>
        <w:rFonts w:ascii="Calibri" w:cs="Calibri" w:eastAsia="Calibri" w:hAnsi="Calibri"/>
        <w:color w:val="6B7280"/>
        <w:sz w:val="16"/>
        <w:szCs w:val="16"/>
      </w:rPr>
      <w:t xml:space="preserve">Confidential · Page </w:t>
    </w:r>
    <w:r>
      <w:rPr>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of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7DD" w:sz="4" w:space="4"/>
      </w:pBdr>
      <w:spacing w:after="0"/>
      <w:jc w:val="right"/>
    </w:pPr>
    <w:r>
      <w:rPr>
        <w:rFonts w:ascii="Calibri" w:cs="Calibri" w:eastAsia="Calibri" w:hAnsi="Calibri"/>
        <w:color w:val="6B7280"/>
        <w:sz w:val="16"/>
        <w:szCs w:val="16"/>
      </w:rPr>
      <w:t xml:space="preserve">Selestial — Full‑Stack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30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libri" w:cs="Calibri" w:eastAsia="Calibri" w:hAnsi="Calibri"/>
      <w:b/>
      <w:bCs/>
      <w:color w:val="2E2A5E"/>
      <w:sz w:val="30"/>
      <w:szCs w:val="30"/>
    </w:rPr>
  </w:style>
  <w:style w:type="paragraph" w:styleId="Heading2">
    <w:name w:val="Heading 2"/>
    <w:basedOn w:val="Normal"/>
    <w:next w:val="Normal"/>
    <w:qFormat/>
    <w:pPr>
      <w:spacing w:after="90" w:before="220"/>
      <w:outlineLvl w:val="1"/>
    </w:pPr>
    <w:rPr>
      <w:rFonts w:ascii="Calibri" w:cs="Calibri" w:eastAsia="Calibri" w:hAnsi="Calibri"/>
      <w:b/>
      <w:bCs/>
      <w:color w:val="2E2A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Selestial — Full‑Stack Code &amp; Experience Audit</dc:title>
  <dc:creator>Selestial Audit</dc:creator>
  <cp:lastModifiedBy>Un-named</cp:lastModifiedBy>
  <cp:revision>1</cp:revision>
  <dcterms:created xsi:type="dcterms:W3CDTF">2026-06-17T07:21:03.644Z</dcterms:created>
  <dcterms:modified xsi:type="dcterms:W3CDTF">2026-06-17T07:21:03.646Z</dcterms:modified>
</cp:coreProperties>
</file>

<file path=docProps/custom.xml><?xml version="1.0" encoding="utf-8"?>
<Properties xmlns="http://schemas.openxmlformats.org/officeDocument/2006/custom-properties" xmlns:vt="http://schemas.openxmlformats.org/officeDocument/2006/docPropsVTypes"/>
</file>