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090E" w14:textId="77777777" w:rsidR="007173FC" w:rsidRDefault="00E962B0">
      <w:pPr>
        <w:jc w:val="center"/>
        <w:rPr>
          <w:rFonts w:ascii="Caladea" w:hAnsi="Caladea"/>
          <w:b/>
          <w:bCs/>
          <w:sz w:val="30"/>
          <w:szCs w:val="30"/>
          <w:u w:val="single"/>
        </w:rPr>
      </w:pPr>
      <w:r>
        <w:rPr>
          <w:rFonts w:ascii="Caladea" w:hAnsi="Caladea"/>
          <w:b/>
          <w:bCs/>
          <w:sz w:val="30"/>
          <w:szCs w:val="30"/>
          <w:u w:val="single"/>
        </w:rPr>
        <w:t>MA374: Financial Engineering Lab11</w:t>
      </w:r>
    </w:p>
    <w:p w14:paraId="72CD090F" w14:textId="77777777" w:rsidR="007173FC" w:rsidRDefault="00E962B0">
      <w:pPr>
        <w:rPr>
          <w:rFonts w:ascii="Caladea" w:hAnsi="Caladea"/>
          <w:b/>
          <w:bCs/>
          <w:sz w:val="30"/>
          <w:szCs w:val="30"/>
          <w:u w:val="single"/>
        </w:rPr>
      </w:pPr>
      <w:r>
        <w:rPr>
          <w:rFonts w:ascii="Caladea" w:hAnsi="Caladea"/>
          <w:b/>
          <w:bCs/>
          <w:sz w:val="30"/>
          <w:szCs w:val="30"/>
          <w:u w:val="single"/>
        </w:rPr>
        <w:t>Sahil Kumar Gupta</w:t>
      </w:r>
    </w:p>
    <w:p w14:paraId="72CD0910" w14:textId="77777777" w:rsidR="007173FC" w:rsidRDefault="00E962B0">
      <w:pPr>
        <w:rPr>
          <w:rFonts w:ascii="Caladea" w:hAnsi="Caladea"/>
          <w:b/>
          <w:bCs/>
          <w:sz w:val="30"/>
          <w:szCs w:val="30"/>
          <w:u w:val="single"/>
        </w:rPr>
      </w:pPr>
      <w:r>
        <w:rPr>
          <w:rFonts w:ascii="Caladea" w:hAnsi="Caladea"/>
          <w:b/>
          <w:bCs/>
          <w:sz w:val="30"/>
          <w:szCs w:val="30"/>
          <w:u w:val="single"/>
        </w:rPr>
        <w:t>200123081</w:t>
      </w:r>
    </w:p>
    <w:p w14:paraId="72CD0911" w14:textId="77777777" w:rsidR="007173FC" w:rsidRDefault="007173FC">
      <w:pPr>
        <w:rPr>
          <w:rFonts w:ascii="Caladea" w:hAnsi="Caladea"/>
          <w:b/>
          <w:bCs/>
          <w:sz w:val="30"/>
          <w:szCs w:val="30"/>
          <w:u w:val="single"/>
        </w:rPr>
      </w:pPr>
    </w:p>
    <w:p w14:paraId="72CD0912" w14:textId="77777777" w:rsidR="007173FC" w:rsidRDefault="00E962B0">
      <w:pPr>
        <w:rPr>
          <w:rFonts w:ascii="Caladea" w:hAnsi="Caladea"/>
          <w:b/>
          <w:bCs/>
          <w:sz w:val="24"/>
          <w:szCs w:val="24"/>
          <w:u w:val="single"/>
        </w:rPr>
      </w:pPr>
      <w:r>
        <w:rPr>
          <w:rFonts w:ascii="Caladea" w:hAnsi="Caladea"/>
          <w:b/>
          <w:bCs/>
          <w:sz w:val="24"/>
          <w:szCs w:val="24"/>
          <w:u w:val="single"/>
        </w:rPr>
        <w:t>Q1</w:t>
      </w:r>
    </w:p>
    <w:p w14:paraId="72CD0913" w14:textId="77777777" w:rsidR="007173FC" w:rsidRDefault="00E962B0">
      <w:pPr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The </w:t>
      </w:r>
      <w:proofErr w:type="spellStart"/>
      <w:r>
        <w:rPr>
          <w:rFonts w:ascii="Caladea" w:hAnsi="Caladea"/>
          <w:sz w:val="24"/>
          <w:szCs w:val="24"/>
        </w:rPr>
        <w:t>Vasicek</w:t>
      </w:r>
      <w:proofErr w:type="spellEnd"/>
      <w:r>
        <w:rPr>
          <w:rFonts w:ascii="Caladea" w:hAnsi="Caladea"/>
          <w:sz w:val="24"/>
          <w:szCs w:val="24"/>
        </w:rPr>
        <w:t xml:space="preserve"> Model is given by:</w:t>
      </w:r>
    </w:p>
    <w:p w14:paraId="72CD0914" w14:textId="77777777" w:rsidR="007173FC" w:rsidRDefault="00E962B0">
      <w:pPr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>The risk neutral process for given by the model is:</w:t>
      </w:r>
      <w:r>
        <w:rPr>
          <w:rFonts w:ascii="Caladea" w:hAnsi="Caladea"/>
          <w:sz w:val="24"/>
          <w:szCs w:val="24"/>
        </w:rPr>
        <w:t> </w:t>
      </w:r>
    </w:p>
    <w:p w14:paraId="72CD0915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dr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dtσ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14:paraId="72CD0916" w14:textId="77777777" w:rsidR="007173FC" w:rsidRDefault="00E962B0">
      <w:pPr>
        <w:pStyle w:val="BodyText"/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 xml:space="preserve">Zero-coupon bond prices in </w:t>
      </w:r>
      <w:proofErr w:type="spellStart"/>
      <w:r>
        <w:rPr>
          <w:rFonts w:ascii="Caladea" w:hAnsi="Caladea"/>
          <w:sz w:val="24"/>
          <w:szCs w:val="24"/>
          <w:lang w:val="en-US"/>
        </w:rPr>
        <w:t>Vasicek's</w:t>
      </w:r>
      <w:proofErr w:type="spellEnd"/>
      <w:r>
        <w:rPr>
          <w:rFonts w:ascii="Caladea" w:hAnsi="Caladea"/>
          <w:sz w:val="24"/>
          <w:szCs w:val="24"/>
          <w:lang w:val="en-US"/>
        </w:rPr>
        <w:t xml:space="preserve"> model are given by:</w:t>
      </w:r>
      <w:r>
        <w:rPr>
          <w:rFonts w:ascii="Caladea" w:hAnsi="Caladea"/>
          <w:sz w:val="24"/>
          <w:szCs w:val="24"/>
        </w:rPr>
        <w:t> </w:t>
      </w:r>
    </w:p>
    <w:p w14:paraId="72CD0917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ascii="Caladea" w:hAnsi="Caladea"/>
          <w:sz w:val="24"/>
          <w:szCs w:val="24"/>
        </w:rPr>
        <w:tab/>
        <w:t>where,</w:t>
      </w:r>
      <w:r>
        <w:rPr>
          <w:rFonts w:ascii="Caladea" w:hAnsi="Caladea"/>
          <w:sz w:val="24"/>
          <w:szCs w:val="24"/>
        </w:rPr>
        <w:tab/>
      </w:r>
      <w:r>
        <w:rPr>
          <w:rFonts w:ascii="Caladea" w:hAnsi="Caladea"/>
          <w:sz w:val="24"/>
          <w:szCs w:val="24"/>
        </w:rPr>
        <w:tab/>
      </w:r>
      <w:r>
        <w:rPr>
          <w:rFonts w:ascii="Caladea" w:hAnsi="Caladea"/>
          <w:sz w:val="24"/>
          <w:szCs w:val="24"/>
        </w:rPr>
        <w:tab/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β</m:t>
                </m:r>
              </m:den>
            </m:f>
          </m:e>
        </m:d>
      </m:oMath>
    </w:p>
    <w:p w14:paraId="72CD0918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and </w:t>
      </w:r>
      <w:r>
        <w:rPr>
          <w:rFonts w:ascii="Caladea" w:hAnsi="Caladea"/>
          <w:sz w:val="24"/>
          <w:szCs w:val="24"/>
        </w:rPr>
        <w:t xml:space="preserve">the </w:t>
      </w:r>
      <w:r>
        <w:rPr>
          <w:rFonts w:ascii="Caladea" w:hAnsi="Caladea"/>
          <w:sz w:val="24"/>
          <w:szCs w:val="24"/>
          <w:lang w:val="en-US"/>
        </w:rPr>
        <w:t>Continuously compounded zero coupon yield is given by:</w:t>
      </w:r>
      <w:r>
        <w:rPr>
          <w:rFonts w:ascii="Caladea" w:hAnsi="Caladea"/>
          <w:sz w:val="24"/>
          <w:szCs w:val="24"/>
        </w:rPr>
        <w:t> </w:t>
      </w:r>
    </w:p>
    <w:p w14:paraId="72CD0919" w14:textId="77777777" w:rsidR="007173FC" w:rsidRDefault="00E962B0">
      <w:pPr>
        <w:pStyle w:val="BodyText"/>
        <w:spacing w:line="270" w:lineRule="atLeast"/>
        <w:jc w:val="center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y(</w:t>
      </w:r>
      <w:proofErr w:type="spellStart"/>
      <w:proofErr w:type="gramStart"/>
      <w:r>
        <w:rPr>
          <w:rFonts w:ascii="Caladea" w:hAnsi="Caladea"/>
          <w:sz w:val="24"/>
          <w:szCs w:val="24"/>
        </w:rPr>
        <w:t>t,T</w:t>
      </w:r>
      <w:proofErr w:type="spellEnd"/>
      <w:proofErr w:type="gramEnd"/>
      <w:r>
        <w:rPr>
          <w:rFonts w:ascii="Caladea" w:hAnsi="Caladea"/>
          <w:sz w:val="24"/>
          <w:szCs w:val="24"/>
        </w:rPr>
        <w:t>) =  -    (log (P(t , T)))/(T - t)</w:t>
      </w:r>
    </w:p>
    <w:p w14:paraId="72CD091A" w14:textId="77777777" w:rsidR="007173FC" w:rsidRDefault="00E962B0">
      <w:pPr>
        <w:pStyle w:val="BodyText"/>
        <w:spacing w:line="270" w:lineRule="atLeas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 xml:space="preserve">where, </w:t>
      </w:r>
      <w:proofErr w:type="gramStart"/>
      <w:r>
        <w:rPr>
          <w:rFonts w:ascii="Caladea" w:hAnsi="Caladea"/>
          <w:sz w:val="24"/>
          <w:szCs w:val="24"/>
          <w:lang w:val="en-US"/>
        </w:rPr>
        <w:t>P(</w:t>
      </w:r>
      <w:proofErr w:type="gramEnd"/>
      <w:r>
        <w:rPr>
          <w:rFonts w:ascii="Caladea" w:hAnsi="Caladea"/>
          <w:sz w:val="24"/>
          <w:szCs w:val="24"/>
          <w:lang w:val="en-US"/>
        </w:rPr>
        <w:t xml:space="preserve">t ,T) is zero coupon bond price, </w:t>
      </w:r>
    </w:p>
    <w:p w14:paraId="72CD091B" w14:textId="77777777" w:rsidR="007173FC" w:rsidRDefault="007173FC">
      <w:pPr>
        <w:tabs>
          <w:tab w:val="left" w:pos="2846"/>
          <w:tab w:val="left" w:pos="3583"/>
        </w:tabs>
        <w:jc w:val="both"/>
      </w:pPr>
    </w:p>
    <w:p w14:paraId="72CD091C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T</w:t>
      </w:r>
      <w:r>
        <w:rPr>
          <w:rFonts w:ascii="Caladea" w:hAnsi="Caladea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72CD0977" wp14:editId="72CD0978">
            <wp:simplePos x="0" y="0"/>
            <wp:positionH relativeFrom="column">
              <wp:posOffset>-259715</wp:posOffset>
            </wp:positionH>
            <wp:positionV relativeFrom="paragraph">
              <wp:posOffset>608330</wp:posOffset>
            </wp:positionV>
            <wp:extent cx="2958465" cy="22186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72CD0979" wp14:editId="72CD097A">
            <wp:simplePos x="0" y="0"/>
            <wp:positionH relativeFrom="column">
              <wp:posOffset>3528060</wp:posOffset>
            </wp:positionH>
            <wp:positionV relativeFrom="paragraph">
              <wp:posOffset>593090</wp:posOffset>
            </wp:positionV>
            <wp:extent cx="2848610" cy="2136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sz w:val="24"/>
          <w:szCs w:val="24"/>
        </w:rPr>
        <w:t xml:space="preserve">he </w:t>
      </w:r>
      <w:r>
        <w:rPr>
          <w:rFonts w:ascii="Caladea" w:hAnsi="Caladea"/>
          <w:sz w:val="24"/>
          <w:szCs w:val="24"/>
        </w:rPr>
        <w:t>outputs are-</w:t>
      </w:r>
    </w:p>
    <w:p w14:paraId="72CD091D" w14:textId="77777777" w:rsidR="007173FC" w:rsidRDefault="007173FC">
      <w:pPr>
        <w:tabs>
          <w:tab w:val="left" w:pos="2846"/>
          <w:tab w:val="left" w:pos="3583"/>
        </w:tabs>
        <w:spacing w:before="6858"/>
        <w:jc w:val="both"/>
        <w:rPr>
          <w:rFonts w:ascii="Caladea" w:hAnsi="Caladea"/>
          <w:sz w:val="24"/>
          <w:szCs w:val="24"/>
        </w:rPr>
      </w:pPr>
    </w:p>
    <w:p w14:paraId="72CD091E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72CD097B" wp14:editId="72CD097C">
            <wp:simplePos x="0" y="0"/>
            <wp:positionH relativeFrom="column">
              <wp:posOffset>685165</wp:posOffset>
            </wp:positionH>
            <wp:positionV relativeFrom="paragraph">
              <wp:posOffset>53975</wp:posOffset>
            </wp:positionV>
            <wp:extent cx="4371975" cy="32778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091F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0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1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2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3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4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5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6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7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8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9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lang w:val="en-US"/>
        </w:rPr>
      </w:pPr>
    </w:p>
    <w:p w14:paraId="72CD092A" w14:textId="0A4BAE49" w:rsidR="007173FC" w:rsidRDefault="00E962B0">
      <w:pPr>
        <w:pStyle w:val="BodyText"/>
        <w:tabs>
          <w:tab w:val="left" w:pos="2846"/>
          <w:tab w:val="left" w:pos="3583"/>
        </w:tabs>
        <w:jc w:val="both"/>
      </w:pPr>
      <w:bookmarkStart w:id="0" w:name="__DdeLink__422_391719077"/>
      <w:r>
        <w:rPr>
          <w:rFonts w:ascii="Caladea" w:hAnsi="Caladea"/>
          <w:bCs/>
          <w:sz w:val="24"/>
          <w:szCs w:val="24"/>
          <w:lang w:val="en-US"/>
        </w:rPr>
        <w:t xml:space="preserve">Term structure for 10 different values of </w:t>
      </w:r>
      <w:proofErr w:type="gramStart"/>
      <w:r>
        <w:rPr>
          <w:rFonts w:ascii="Caladea" w:hAnsi="Caladea"/>
          <w:bCs/>
          <w:sz w:val="24"/>
          <w:szCs w:val="24"/>
          <w:lang w:val="en-US"/>
        </w:rPr>
        <w:t>r(</w:t>
      </w:r>
      <w:proofErr w:type="gramEnd"/>
      <w:r>
        <w:rPr>
          <w:rFonts w:ascii="Caladea" w:hAnsi="Caladea"/>
          <w:bCs/>
          <w:sz w:val="24"/>
          <w:szCs w:val="24"/>
          <w:lang w:val="en-US"/>
        </w:rPr>
        <w:t>0) and 500 time units</w:t>
      </w:r>
      <w:r>
        <w:rPr>
          <w:rFonts w:ascii="Caladea" w:hAnsi="Caladea"/>
          <w:bCs/>
          <w:sz w:val="24"/>
          <w:szCs w:val="24"/>
        </w:rPr>
        <w:t> </w:t>
      </w:r>
      <w:bookmarkEnd w:id="0"/>
    </w:p>
    <w:p w14:paraId="72CD092B" w14:textId="1469E8C2" w:rsidR="007173FC" w:rsidRDefault="00E962B0">
      <w:pPr>
        <w:pStyle w:val="BodyText"/>
        <w:tabs>
          <w:tab w:val="left" w:pos="2846"/>
          <w:tab w:val="left" w:pos="3583"/>
        </w:tabs>
        <w:jc w:val="both"/>
        <w:rPr>
          <w:rFonts w:ascii="Caladea" w:hAnsi="Caladea"/>
          <w:bCs/>
          <w:sz w:val="24"/>
          <w:szCs w:val="24"/>
        </w:rPr>
      </w:pPr>
      <w:r w:rsidRPr="00E962B0">
        <w:rPr>
          <w:rFonts w:ascii="Caladea" w:hAnsi="Caladea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5BD21" wp14:editId="55C5FBFE">
            <wp:simplePos x="0" y="0"/>
            <wp:positionH relativeFrom="margin">
              <wp:align>left</wp:align>
            </wp:positionH>
            <wp:positionV relativeFrom="paragraph">
              <wp:posOffset>2139315</wp:posOffset>
            </wp:positionV>
            <wp:extent cx="3045460" cy="2225040"/>
            <wp:effectExtent l="0" t="0" r="254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2B0">
        <w:rPr>
          <w:rFonts w:ascii="Caladea" w:hAnsi="Caladea"/>
          <w:bCs/>
          <w:sz w:val="24"/>
          <w:szCs w:val="24"/>
        </w:rPr>
        <w:drawing>
          <wp:inline distT="0" distB="0" distL="0" distR="0" wp14:anchorId="4B863104" wp14:editId="0B79A91C">
            <wp:extent cx="2836210" cy="2133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009" cy="21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92C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D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E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2F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30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31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32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3D" w14:textId="137854E2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  <w:r w:rsidRPr="00E962B0">
        <w:rPr>
          <w:rFonts w:ascii="Caladea" w:hAnsi="Caladea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8C90A42" wp14:editId="260C08DF">
            <wp:extent cx="3870960" cy="29021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328" cy="29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2CD093E" w14:textId="77777777" w:rsidR="007173FC" w:rsidRDefault="007173FC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</w:p>
    <w:p w14:paraId="72CD093F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  <w:u w:val="single"/>
        </w:rPr>
      </w:pPr>
      <w:r>
        <w:rPr>
          <w:rFonts w:ascii="Caladea" w:hAnsi="Caladea"/>
          <w:b/>
          <w:bCs/>
          <w:sz w:val="24"/>
          <w:szCs w:val="24"/>
          <w:u w:val="single"/>
        </w:rPr>
        <w:t>Observations:</w:t>
      </w:r>
    </w:p>
    <w:p w14:paraId="72CD0940" w14:textId="77777777" w:rsidR="007173FC" w:rsidRDefault="00E962B0">
      <w:pPr>
        <w:numPr>
          <w:ilvl w:val="0"/>
          <w:numId w:val="1"/>
        </w:num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The bond price yield converges to a certain value once the maturity term is raised to a sufficiently large value, regardless of the value of </w:t>
      </w:r>
      <w:proofErr w:type="gramStart"/>
      <w:r>
        <w:rPr>
          <w:rFonts w:ascii="Caladea" w:hAnsi="Caladea"/>
          <w:sz w:val="24"/>
          <w:szCs w:val="24"/>
        </w:rPr>
        <w:t>r(</w:t>
      </w:r>
      <w:proofErr w:type="gramEnd"/>
      <w:r>
        <w:rPr>
          <w:rFonts w:ascii="Caladea" w:hAnsi="Caladea"/>
          <w:sz w:val="24"/>
          <w:szCs w:val="24"/>
        </w:rPr>
        <w:t xml:space="preserve">0) used. </w:t>
      </w:r>
    </w:p>
    <w:p w14:paraId="72CD0941" w14:textId="77777777" w:rsidR="007173FC" w:rsidRDefault="00E962B0">
      <w:pPr>
        <w:numPr>
          <w:ilvl w:val="0"/>
          <w:numId w:val="1"/>
        </w:num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The behaviour of the term structure of parameters set for </w:t>
      </w:r>
      <w:proofErr w:type="gramStart"/>
      <w:r>
        <w:rPr>
          <w:rFonts w:ascii="Caladea" w:hAnsi="Caladea"/>
          <w:sz w:val="24"/>
          <w:szCs w:val="24"/>
        </w:rPr>
        <w:t>10 time</w:t>
      </w:r>
      <w:proofErr w:type="gramEnd"/>
      <w:r>
        <w:rPr>
          <w:rFonts w:ascii="Caladea" w:hAnsi="Caladea"/>
          <w:sz w:val="24"/>
          <w:szCs w:val="24"/>
        </w:rPr>
        <w:t xml:space="preserve"> units is noticeably different. The yi</w:t>
      </w:r>
      <w:r>
        <w:rPr>
          <w:rFonts w:ascii="Caladea" w:hAnsi="Caladea"/>
          <w:sz w:val="24"/>
          <w:szCs w:val="24"/>
        </w:rPr>
        <w:t xml:space="preserve">eld grows and eventually converges for the initial parameter set. The yield curve for the second one declines and eventually converges, but the yield curve for the last one has a "hump" in it. </w:t>
      </w:r>
    </w:p>
    <w:p w14:paraId="72CD0942" w14:textId="77777777" w:rsidR="007173FC" w:rsidRDefault="00E962B0">
      <w:pPr>
        <w:numPr>
          <w:ilvl w:val="0"/>
          <w:numId w:val="1"/>
        </w:num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Mean reversion is noticed because high interest rates have a n</w:t>
      </w:r>
      <w:r>
        <w:rPr>
          <w:rFonts w:ascii="Caladea" w:hAnsi="Caladea"/>
          <w:sz w:val="24"/>
          <w:szCs w:val="24"/>
        </w:rPr>
        <w:t xml:space="preserve">egative trend whereas low interest rates have a positive tendency to the reversion level. This is because the </w:t>
      </w:r>
      <w:proofErr w:type="spellStart"/>
      <w:r>
        <w:rPr>
          <w:rFonts w:ascii="Caladea" w:hAnsi="Caladea"/>
          <w:sz w:val="24"/>
          <w:szCs w:val="24"/>
        </w:rPr>
        <w:t>Vasicek</w:t>
      </w:r>
      <w:proofErr w:type="spellEnd"/>
      <w:r>
        <w:rPr>
          <w:rFonts w:ascii="Caladea" w:hAnsi="Caladea"/>
          <w:sz w:val="24"/>
          <w:szCs w:val="24"/>
        </w:rPr>
        <w:t xml:space="preserve"> Model involves mean reversion. </w:t>
      </w:r>
    </w:p>
    <w:p w14:paraId="72CD0943" w14:textId="77777777" w:rsidR="007173FC" w:rsidRDefault="00E962B0">
      <w:pPr>
        <w:rPr>
          <w:rFonts w:ascii="Caladea" w:hAnsi="Caladea"/>
          <w:b/>
          <w:bCs/>
          <w:sz w:val="24"/>
          <w:szCs w:val="24"/>
          <w:u w:val="single"/>
        </w:rPr>
      </w:pPr>
      <w:r>
        <w:rPr>
          <w:rFonts w:ascii="Caladea" w:hAnsi="Caladea"/>
          <w:b/>
          <w:bCs/>
          <w:sz w:val="24"/>
          <w:szCs w:val="24"/>
          <w:u w:val="single"/>
        </w:rPr>
        <w:t>Q2</w:t>
      </w:r>
    </w:p>
    <w:p w14:paraId="72CD0944" w14:textId="77777777" w:rsidR="007173FC" w:rsidRDefault="00E962B0">
      <w:pPr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The CIR Model is given by:</w:t>
      </w:r>
    </w:p>
    <w:p w14:paraId="72CD0945" w14:textId="77777777" w:rsidR="007173FC" w:rsidRDefault="00E962B0">
      <w:pPr>
        <w:tabs>
          <w:tab w:val="left" w:pos="2846"/>
          <w:tab w:val="left" w:pos="3583"/>
        </w:tabs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>The risk neutral process for given by the model is:</w:t>
      </w:r>
      <w:r>
        <w:rPr>
          <w:rFonts w:ascii="Caladea" w:hAnsi="Caladea"/>
          <w:sz w:val="24"/>
          <w:szCs w:val="24"/>
        </w:rPr>
        <w:t> </w:t>
      </w:r>
    </w:p>
    <w:p w14:paraId="72CD0946" w14:textId="77777777" w:rsidR="007173FC" w:rsidRDefault="00E962B0">
      <w:pPr>
        <w:tabs>
          <w:tab w:val="left" w:pos="2846"/>
          <w:tab w:val="left" w:pos="3583"/>
        </w:tabs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dr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14:paraId="72CD0947" w14:textId="77777777" w:rsidR="007173FC" w:rsidRDefault="00E962B0">
      <w:pPr>
        <w:pStyle w:val="BodyText"/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>Zero-coupon bond prices in CIR model are given by:</w:t>
      </w:r>
      <w:r>
        <w:rPr>
          <w:rFonts w:ascii="Caladea" w:hAnsi="Caladea"/>
          <w:sz w:val="24"/>
          <w:szCs w:val="24"/>
        </w:rPr>
        <w:t> </w:t>
      </w:r>
    </w:p>
    <w:p w14:paraId="72CD0948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2CD0949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where,</w:t>
      </w:r>
    </w:p>
    <w:p w14:paraId="72CD094A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72CD094B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βμ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CD094C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2CD094D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and </w:t>
      </w:r>
      <w:r>
        <w:rPr>
          <w:rFonts w:ascii="Caladea" w:hAnsi="Caladea"/>
          <w:sz w:val="24"/>
          <w:szCs w:val="24"/>
        </w:rPr>
        <w:t xml:space="preserve">the </w:t>
      </w:r>
      <w:r>
        <w:rPr>
          <w:rFonts w:ascii="Caladea" w:hAnsi="Caladea"/>
          <w:sz w:val="24"/>
          <w:szCs w:val="24"/>
          <w:lang w:val="en-US"/>
        </w:rPr>
        <w:t>Continuously compounded zero coupon yield is giv</w:t>
      </w:r>
      <w:r>
        <w:rPr>
          <w:rFonts w:ascii="Caladea" w:hAnsi="Caladea"/>
          <w:sz w:val="24"/>
          <w:szCs w:val="24"/>
          <w:lang w:val="en-US"/>
        </w:rPr>
        <w:t>en by:</w:t>
      </w:r>
      <w:r>
        <w:rPr>
          <w:rFonts w:ascii="Caladea" w:hAnsi="Caladea"/>
          <w:sz w:val="24"/>
          <w:szCs w:val="24"/>
        </w:rPr>
        <w:t> </w:t>
      </w:r>
    </w:p>
    <w:p w14:paraId="72CD094E" w14:textId="77777777" w:rsidR="007173FC" w:rsidRDefault="00E962B0">
      <w:pPr>
        <w:pStyle w:val="BodyText"/>
        <w:spacing w:line="270" w:lineRule="atLeast"/>
        <w:jc w:val="center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y(</w:t>
      </w:r>
      <w:proofErr w:type="spellStart"/>
      <w:proofErr w:type="gramStart"/>
      <w:r>
        <w:rPr>
          <w:rFonts w:ascii="Caladea" w:hAnsi="Caladea"/>
          <w:sz w:val="24"/>
          <w:szCs w:val="24"/>
        </w:rPr>
        <w:t>t,T</w:t>
      </w:r>
      <w:proofErr w:type="spellEnd"/>
      <w:proofErr w:type="gramEnd"/>
      <w:r>
        <w:rPr>
          <w:rFonts w:ascii="Caladea" w:hAnsi="Caladea"/>
          <w:sz w:val="24"/>
          <w:szCs w:val="24"/>
        </w:rPr>
        <w:t>) =  -    (log (P(t , T)))/(T - t)</w:t>
      </w:r>
    </w:p>
    <w:p w14:paraId="72CD094F" w14:textId="77777777" w:rsidR="007173FC" w:rsidRDefault="00E962B0">
      <w:pPr>
        <w:pStyle w:val="BodyText"/>
        <w:spacing w:line="270" w:lineRule="atLeas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  <w:lang w:val="en-US"/>
        </w:rPr>
        <w:t xml:space="preserve">where, </w:t>
      </w:r>
      <w:proofErr w:type="gramStart"/>
      <w:r>
        <w:rPr>
          <w:rFonts w:ascii="Caladea" w:hAnsi="Caladea"/>
          <w:sz w:val="24"/>
          <w:szCs w:val="24"/>
          <w:lang w:val="en-US"/>
        </w:rPr>
        <w:t>P(</w:t>
      </w:r>
      <w:proofErr w:type="gramEnd"/>
      <w:r>
        <w:rPr>
          <w:rFonts w:ascii="Caladea" w:hAnsi="Caladea"/>
          <w:sz w:val="24"/>
          <w:szCs w:val="24"/>
          <w:lang w:val="en-US"/>
        </w:rPr>
        <w:t xml:space="preserve">t ,T) is zero coupon bond price, </w:t>
      </w:r>
    </w:p>
    <w:p w14:paraId="72CD0950" w14:textId="77777777" w:rsidR="007173FC" w:rsidRDefault="007173FC">
      <w:pPr>
        <w:tabs>
          <w:tab w:val="left" w:pos="2846"/>
          <w:tab w:val="left" w:pos="3583"/>
        </w:tabs>
        <w:jc w:val="both"/>
      </w:pPr>
    </w:p>
    <w:p w14:paraId="72CD0951" w14:textId="77777777" w:rsidR="007173FC" w:rsidRDefault="00E962B0">
      <w:pPr>
        <w:tabs>
          <w:tab w:val="left" w:pos="2846"/>
          <w:tab w:val="left" w:pos="3583"/>
        </w:tabs>
        <w:jc w:val="both"/>
      </w:pPr>
      <w:r>
        <w:rPr>
          <w:rFonts w:ascii="Caladea" w:hAnsi="Caladea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2CD0983" wp14:editId="72CD09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2895" cy="30841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72CD0985" wp14:editId="72CD0986">
            <wp:simplePos x="0" y="0"/>
            <wp:positionH relativeFrom="column">
              <wp:posOffset>952500</wp:posOffset>
            </wp:positionH>
            <wp:positionV relativeFrom="paragraph">
              <wp:posOffset>3168650</wp:posOffset>
            </wp:positionV>
            <wp:extent cx="4571365" cy="342836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sz w:val="24"/>
          <w:szCs w:val="24"/>
        </w:rPr>
        <w:t>The outputs are-</w:t>
      </w:r>
    </w:p>
    <w:p w14:paraId="72CD0952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3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4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5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6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7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8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9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A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B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C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D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E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5F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0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1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2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3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4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5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6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7" w14:textId="77777777" w:rsidR="007173FC" w:rsidRDefault="007173FC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</w:p>
    <w:p w14:paraId="72CD0968" w14:textId="77777777" w:rsidR="007173FC" w:rsidRDefault="00E962B0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0" behindDoc="0" locked="0" layoutInCell="1" allowOverlap="1" wp14:anchorId="72CD0987" wp14:editId="72CD0988">
            <wp:simplePos x="0" y="0"/>
            <wp:positionH relativeFrom="column">
              <wp:posOffset>690245</wp:posOffset>
            </wp:positionH>
            <wp:positionV relativeFrom="paragraph">
              <wp:posOffset>-967740</wp:posOffset>
            </wp:positionV>
            <wp:extent cx="4281170" cy="321056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0969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A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B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C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D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E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6F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70" w14:textId="77777777" w:rsidR="007173FC" w:rsidRDefault="007173FC">
      <w:pPr>
        <w:pStyle w:val="BodyText"/>
        <w:tabs>
          <w:tab w:val="left" w:pos="2846"/>
          <w:tab w:val="left" w:pos="3583"/>
        </w:tabs>
        <w:jc w:val="both"/>
        <w:rPr>
          <w:b/>
          <w:u w:val="single"/>
          <w:lang w:val="en-US"/>
        </w:rPr>
      </w:pPr>
    </w:p>
    <w:p w14:paraId="72CD0971" w14:textId="77777777" w:rsidR="007173FC" w:rsidRDefault="00E962B0">
      <w:pPr>
        <w:pStyle w:val="BodyText"/>
        <w:tabs>
          <w:tab w:val="left" w:pos="2846"/>
          <w:tab w:val="left" w:pos="3583"/>
        </w:tabs>
        <w:jc w:val="both"/>
        <w:rPr>
          <w:rFonts w:ascii="Caladea" w:hAnsi="Caladea"/>
          <w:b/>
          <w:bCs/>
          <w:sz w:val="24"/>
          <w:szCs w:val="24"/>
        </w:rPr>
      </w:pPr>
      <w:r>
        <w:rPr>
          <w:rFonts w:ascii="Caladea" w:hAnsi="Caladea"/>
          <w:b/>
          <w:bCs/>
          <w:sz w:val="24"/>
          <w:szCs w:val="24"/>
          <w:u w:val="single"/>
          <w:lang w:val="en-US"/>
        </w:rPr>
        <w:t xml:space="preserve">Term structure for 10 different values of </w:t>
      </w:r>
      <w:proofErr w:type="gramStart"/>
      <w:r>
        <w:rPr>
          <w:rFonts w:ascii="Caladea" w:hAnsi="Caladea"/>
          <w:b/>
          <w:bCs/>
          <w:sz w:val="24"/>
          <w:szCs w:val="24"/>
          <w:u w:val="single"/>
          <w:lang w:val="en-US"/>
        </w:rPr>
        <w:t>r(</w:t>
      </w:r>
      <w:proofErr w:type="gramEnd"/>
      <w:r>
        <w:rPr>
          <w:rFonts w:ascii="Caladea" w:hAnsi="Caladea"/>
          <w:b/>
          <w:bCs/>
          <w:sz w:val="24"/>
          <w:szCs w:val="24"/>
          <w:u w:val="single"/>
          <w:lang w:val="en-US"/>
        </w:rPr>
        <w:t>0) and 600 time units</w:t>
      </w:r>
      <w:r>
        <w:rPr>
          <w:rFonts w:ascii="Caladea" w:hAnsi="Caladea"/>
          <w:b/>
          <w:bCs/>
          <w:sz w:val="24"/>
          <w:szCs w:val="24"/>
          <w:u w:val="single"/>
        </w:rPr>
        <w:t> </w:t>
      </w:r>
    </w:p>
    <w:p w14:paraId="72CD0972" w14:textId="77777777" w:rsidR="007173FC" w:rsidRDefault="00E962B0">
      <w:pPr>
        <w:tabs>
          <w:tab w:val="left" w:pos="2846"/>
          <w:tab w:val="left" w:pos="3583"/>
        </w:tabs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1" behindDoc="0" locked="0" layoutInCell="1" allowOverlap="1" wp14:anchorId="72CD0989" wp14:editId="72CD098A">
            <wp:simplePos x="0" y="0"/>
            <wp:positionH relativeFrom="column">
              <wp:posOffset>65405</wp:posOffset>
            </wp:positionH>
            <wp:positionV relativeFrom="paragraph">
              <wp:posOffset>15875</wp:posOffset>
            </wp:positionV>
            <wp:extent cx="5731510" cy="302450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0973" w14:textId="77777777" w:rsidR="007173FC" w:rsidRDefault="00E962B0">
      <w:p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b/>
          <w:bCs/>
          <w:sz w:val="24"/>
          <w:szCs w:val="24"/>
          <w:u w:val="single"/>
        </w:rPr>
        <w:t>Observations:</w:t>
      </w:r>
    </w:p>
    <w:p w14:paraId="72CD0974" w14:textId="77777777" w:rsidR="007173FC" w:rsidRDefault="00E962B0">
      <w:pPr>
        <w:numPr>
          <w:ilvl w:val="0"/>
          <w:numId w:val="2"/>
        </w:num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Regardless of the value of </w:t>
      </w:r>
      <w:proofErr w:type="gramStart"/>
      <w:r>
        <w:rPr>
          <w:rFonts w:ascii="Caladea" w:hAnsi="Caladea"/>
          <w:sz w:val="24"/>
          <w:szCs w:val="24"/>
        </w:rPr>
        <w:t>r(</w:t>
      </w:r>
      <w:proofErr w:type="gramEnd"/>
      <w:r>
        <w:rPr>
          <w:rFonts w:ascii="Caladea" w:hAnsi="Caladea"/>
          <w:sz w:val="24"/>
          <w:szCs w:val="24"/>
        </w:rPr>
        <w:t xml:space="preserve">0) chosen, the yield of the bond price converges to a certain value as the maturity term is extended to a high enough number. </w:t>
      </w:r>
    </w:p>
    <w:p w14:paraId="72CD0975" w14:textId="77777777" w:rsidR="007173FC" w:rsidRDefault="00E962B0">
      <w:pPr>
        <w:numPr>
          <w:ilvl w:val="0"/>
          <w:numId w:val="2"/>
        </w:numPr>
        <w:tabs>
          <w:tab w:val="left" w:pos="2846"/>
          <w:tab w:val="left" w:pos="3583"/>
        </w:tabs>
        <w:jc w:val="both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A startling difference in behaviour may be seen in the term structure of parameters set for </w:t>
      </w:r>
      <w:proofErr w:type="gramStart"/>
      <w:r>
        <w:rPr>
          <w:rFonts w:ascii="Caladea" w:hAnsi="Caladea"/>
          <w:sz w:val="24"/>
          <w:szCs w:val="24"/>
        </w:rPr>
        <w:t>10 time</w:t>
      </w:r>
      <w:proofErr w:type="gramEnd"/>
      <w:r>
        <w:rPr>
          <w:rFonts w:ascii="Caladea" w:hAnsi="Caladea"/>
          <w:sz w:val="24"/>
          <w:szCs w:val="24"/>
        </w:rPr>
        <w:t xml:space="preserve"> </w:t>
      </w:r>
      <w:r>
        <w:rPr>
          <w:rFonts w:ascii="Caladea" w:hAnsi="Caladea"/>
          <w:sz w:val="24"/>
          <w:szCs w:val="24"/>
        </w:rPr>
        <w:t xml:space="preserve">units. The yield rises for the first parameter set before </w:t>
      </w:r>
      <w:proofErr w:type="spellStart"/>
      <w:r>
        <w:rPr>
          <w:rFonts w:ascii="Caladea" w:hAnsi="Caladea"/>
          <w:sz w:val="24"/>
          <w:szCs w:val="24"/>
        </w:rPr>
        <w:t>convergeing</w:t>
      </w:r>
      <w:proofErr w:type="spellEnd"/>
      <w:r>
        <w:rPr>
          <w:rFonts w:ascii="Caladea" w:hAnsi="Caladea"/>
          <w:sz w:val="24"/>
          <w:szCs w:val="24"/>
        </w:rPr>
        <w:t xml:space="preserve">. The yield declines and then converges for the second, but there is a "hump" in the yield curve for the last one. </w:t>
      </w:r>
    </w:p>
    <w:p w14:paraId="72CD0976" w14:textId="77777777" w:rsidR="007173FC" w:rsidRDefault="00E962B0">
      <w:pPr>
        <w:numPr>
          <w:ilvl w:val="0"/>
          <w:numId w:val="2"/>
        </w:numPr>
        <w:tabs>
          <w:tab w:val="left" w:pos="2846"/>
          <w:tab w:val="left" w:pos="3583"/>
        </w:tabs>
        <w:jc w:val="both"/>
      </w:pPr>
      <w:r>
        <w:rPr>
          <w:rFonts w:ascii="Caladea" w:hAnsi="Caladea"/>
          <w:sz w:val="24"/>
          <w:szCs w:val="24"/>
        </w:rPr>
        <w:lastRenderedPageBreak/>
        <w:t xml:space="preserve">The mean reversion from the </w:t>
      </w:r>
      <w:proofErr w:type="gramStart"/>
      <w:r>
        <w:rPr>
          <w:rFonts w:ascii="Caladea" w:hAnsi="Caladea"/>
          <w:sz w:val="24"/>
          <w:szCs w:val="24"/>
        </w:rPr>
        <w:t>plots</w:t>
      </w:r>
      <w:proofErr w:type="gramEnd"/>
      <w:r>
        <w:rPr>
          <w:rFonts w:ascii="Caladea" w:hAnsi="Caladea"/>
          <w:sz w:val="24"/>
          <w:szCs w:val="24"/>
        </w:rPr>
        <w:t xml:space="preserve"> phenomena is seen. This is because th</w:t>
      </w:r>
      <w:r>
        <w:rPr>
          <w:rFonts w:ascii="Caladea" w:hAnsi="Caladea"/>
          <w:sz w:val="24"/>
          <w:szCs w:val="24"/>
        </w:rPr>
        <w:t xml:space="preserve">e model counts on mean reversion to a level of long-term normal interest rates. </w:t>
      </w:r>
    </w:p>
    <w:sectPr w:rsidR="007173FC">
      <w:pgSz w:w="11906" w:h="16838"/>
      <w:pgMar w:top="1843" w:right="1440" w:bottom="156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0681A"/>
    <w:multiLevelType w:val="multilevel"/>
    <w:tmpl w:val="1788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956232"/>
    <w:multiLevelType w:val="multilevel"/>
    <w:tmpl w:val="A942C1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677682"/>
    <w:multiLevelType w:val="multilevel"/>
    <w:tmpl w:val="3FC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C"/>
    <w:rsid w:val="007173FC"/>
    <w:rsid w:val="00E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090E"/>
  <w15:docId w15:val="{0A799D29-CD16-4DBD-9DD0-6E23B200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27A15"/>
  </w:style>
  <w:style w:type="character" w:customStyle="1" w:styleId="FooterChar">
    <w:name w:val="Footer Char"/>
    <w:basedOn w:val="DefaultParagraphFont"/>
    <w:link w:val="Footer"/>
    <w:uiPriority w:val="99"/>
    <w:qFormat/>
    <w:rsid w:val="00F27A15"/>
  </w:style>
  <w:style w:type="character" w:styleId="PlaceholderText">
    <w:name w:val="Placeholder Text"/>
    <w:basedOn w:val="DefaultParagraphFont"/>
    <w:uiPriority w:val="99"/>
    <w:semiHidden/>
    <w:qFormat/>
    <w:rsid w:val="00123054"/>
    <w:rPr>
      <w:color w:val="808080"/>
    </w:rPr>
  </w:style>
  <w:style w:type="character" w:customStyle="1" w:styleId="ListLabel1">
    <w:name w:val="ListLabel 1"/>
    <w:qFormat/>
    <w:rPr>
      <w:sz w:val="32"/>
      <w:szCs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ascii="Caladea" w:hAnsi="Caladea" w:cs="OpenSymbol"/>
      <w:b w:val="0"/>
      <w:sz w:val="24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Caladea" w:hAnsi="Caladea" w:cs="OpenSymbol"/>
      <w:sz w:val="24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27A1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7A15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2C0"/>
    <w:pPr>
      <w:spacing w:line="252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qFormat/>
    <w:rsid w:val="004E22C0"/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Banerjee</dc:creator>
  <dc:description/>
  <cp:lastModifiedBy>SAHIL KUMAR GUPTA</cp:lastModifiedBy>
  <cp:revision>6</cp:revision>
  <dcterms:created xsi:type="dcterms:W3CDTF">2023-04-19T19:40:00Z</dcterms:created>
  <dcterms:modified xsi:type="dcterms:W3CDTF">2023-04-21T08:01:00Z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