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78FE" w14:textId="77777777" w:rsidR="00087DF9" w:rsidRDefault="00000000">
      <w:pPr>
        <w:spacing w:after="200"/>
        <w:jc w:val="center"/>
      </w:pPr>
      <w:r>
        <w:rPr>
          <w:b/>
          <w:bCs/>
          <w:sz w:val="48"/>
          <w:szCs w:val="48"/>
        </w:rPr>
        <w:t>PPEMDD: A Privacy-Preserving Explainable Multimodal Framework for Automated Depression Detection Using Federated Learning and Adaptive Cross-Modal Fusion</w:t>
      </w:r>
    </w:p>
    <w:p w14:paraId="0DE083FD" w14:textId="0A46D2FC" w:rsidR="00087DF9" w:rsidRDefault="00AD31FC">
      <w:pPr>
        <w:spacing w:after="80"/>
        <w:jc w:val="center"/>
      </w:pPr>
      <w:r>
        <w:rPr>
          <w:sz w:val="22"/>
          <w:szCs w:val="22"/>
        </w:rPr>
        <w:t>Sahil Pathak</w:t>
      </w:r>
    </w:p>
    <w:p w14:paraId="793440F8" w14:textId="3E66A9E6" w:rsidR="00087DF9" w:rsidRDefault="00000000">
      <w:pPr>
        <w:spacing w:after="80"/>
        <w:jc w:val="center"/>
      </w:pPr>
      <w:r>
        <w:rPr>
          <w:i/>
          <w:iCs/>
          <w:sz w:val="18"/>
          <w:szCs w:val="18"/>
        </w:rPr>
        <w:t>Department of Computer Science and Engineering</w:t>
      </w:r>
      <w:r w:rsidR="00AD31FC">
        <w:rPr>
          <w:i/>
          <w:iCs/>
          <w:sz w:val="18"/>
          <w:szCs w:val="18"/>
        </w:rPr>
        <w:t>D.Y. Patil International University,Pune,India</w:t>
      </w:r>
    </w:p>
    <w:p w14:paraId="64AD75E8" w14:textId="47C157A9" w:rsidR="00087DF9" w:rsidRDefault="00000000">
      <w:pPr>
        <w:spacing w:after="200"/>
        <w:jc w:val="center"/>
      </w:pPr>
      <w:r>
        <w:rPr>
          <w:i/>
          <w:iCs/>
          <w:sz w:val="18"/>
          <w:szCs w:val="18"/>
        </w:rPr>
        <w:t xml:space="preserve">Email: </w:t>
      </w:r>
      <w:r w:rsidR="00AD31FC">
        <w:rPr>
          <w:i/>
          <w:iCs/>
          <w:sz w:val="18"/>
          <w:szCs w:val="18"/>
        </w:rPr>
        <w:t>sahilpathak2005@gmail.com</w:t>
      </w:r>
    </w:p>
    <w:p w14:paraId="6D914362" w14:textId="104D7F2F" w:rsidR="00087DF9" w:rsidRDefault="00110AD1">
      <w:pPr>
        <w:spacing w:after="80"/>
        <w:jc w:val="both"/>
      </w:pPr>
      <w:r w:rsidRPr="00110AD1">
        <w:rPr>
          <w:b/>
          <w:bCs/>
          <w:i/>
          <w:iCs/>
          <w:sz w:val="18"/>
          <w:szCs w:val="18"/>
        </w:rPr>
        <w:t>Abstract</w:t>
      </w:r>
      <w:r w:rsidRPr="00110AD1">
        <w:rPr>
          <w:i/>
          <w:iCs/>
          <w:sz w:val="18"/>
          <w:szCs w:val="18"/>
        </w:rPr>
        <w:t>; Depression impacts over 280 million people globally and remains critically under-diagnosed due to reliance on personal, time-intensive clinical evaluations. Recent developments in artificial intelligence have enabled automated depression detection from varied data methods; nevertheless, existing systems face persistent problems related to limited generalizability, poor explainability, demographic bias, and patient privacy. This paper proposes PPEMDD (Privacy-Preserving Explainable Multimodal Depression Detection), a ten-layer federated learning framework that incorporates textual, electroencephalographic (EEG), wearable sensor, audio/video, and clinical data through an Adaptive Multimodal Fusion mechanism. PPEMDD employs a Dynamic Gating Network (DGN) for reliability-weighted modality fusion, Multi-Head Cross-Attention (MHCA) to model inter-modal dependencies, BERT/RoBERTa Transformer encoders for linguistic setting, and CNN-BiLSTM pipelines for temporal physiological signals. A fairness-aware adversarial regularizer reduces demographic inequalities across gender, age, language, and culture.</w:t>
      </w:r>
      <w:r>
        <w:rPr>
          <w:i/>
          <w:iCs/>
          <w:sz w:val="18"/>
          <w:szCs w:val="18"/>
        </w:rPr>
        <w:t xml:space="preserve"> </w:t>
      </w:r>
      <w:r w:rsidRPr="00110AD1">
        <w:rPr>
          <w:i/>
          <w:iCs/>
          <w:sz w:val="18"/>
          <w:szCs w:val="18"/>
        </w:rPr>
        <w:t>. A multi-task learning head concurrently performs binary depression classification, PHQ-9 gravity regression, and DSM-5 symptom recognition. Model transparency is guaranteed through SHAP feature attribution, attention heatmaps, and counterfactual elucidations. Privacy is preserved via federated averaging (FedAVG) with ε-differential privacy guarantees, guaranteeing raw patient data never leaves local nodes. Leave-One-Dataset-Out (LODO) cross-validation across DAIC-WOZ, MODMA, WU3D, EATD-Corpus, StudentSADD, and PHQ-9 actigraphy cohorts shows competitive detection performance (F1 &gt; 91%) with significantly reduced fairness gaps compared to baseline systems.</w:t>
      </w:r>
    </w:p>
    <w:p w14:paraId="433FA6EA" w14:textId="77777777" w:rsidR="00087DF9" w:rsidRDefault="00000000" w:rsidP="00110AD1">
      <w:pPr>
        <w:jc w:val="both"/>
        <w:rPr>
          <w:sz w:val="18"/>
          <w:szCs w:val="18"/>
        </w:rPr>
      </w:pPr>
      <w:r>
        <w:rPr>
          <w:b/>
          <w:bCs/>
          <w:sz w:val="18"/>
          <w:szCs w:val="18"/>
        </w:rPr>
        <w:t>Index Terms</w:t>
      </w:r>
      <w:r>
        <w:rPr>
          <w:sz w:val="18"/>
          <w:szCs w:val="18"/>
        </w:rPr>
        <w:t>—</w:t>
      </w:r>
      <w:r w:rsidR="00110AD1" w:rsidRPr="00110AD1">
        <w:t xml:space="preserve"> </w:t>
      </w:r>
      <w:r w:rsidR="00110AD1" w:rsidRPr="00110AD1">
        <w:rPr>
          <w:sz w:val="18"/>
          <w:szCs w:val="18"/>
        </w:rPr>
        <w:t>Depression detection, multimodal learning, federated learning, explainable AI, transformer networks, EEG signal processing, natural language processing, fairness-aware machine learning, cross-modal attention, privacy-preserving AI.</w:t>
      </w:r>
    </w:p>
    <w:p w14:paraId="51011272" w14:textId="015AEE25" w:rsidR="00110AD1" w:rsidRDefault="00110AD1" w:rsidP="00110AD1">
      <w:pPr>
        <w:jc w:val="both"/>
        <w:sectPr w:rsidR="00110AD1">
          <w:pgSz w:w="12240" w:h="15840"/>
          <w:pgMar w:top="1080" w:right="900" w:bottom="1440" w:left="900" w:header="708" w:footer="708" w:gutter="0"/>
          <w:cols w:space="720"/>
          <w:docGrid w:linePitch="360"/>
        </w:sectPr>
      </w:pPr>
    </w:p>
    <w:p w14:paraId="312D7129" w14:textId="77777777" w:rsidR="00087DF9" w:rsidRDefault="00000000">
      <w:pPr>
        <w:spacing w:before="200" w:after="100"/>
        <w:jc w:val="center"/>
      </w:pPr>
      <w:r>
        <w:rPr>
          <w:b/>
          <w:bCs/>
        </w:rPr>
        <w:t>I. INTRODUCTION</w:t>
      </w:r>
    </w:p>
    <w:p w14:paraId="4D234FD4" w14:textId="77777777" w:rsidR="00110AD1" w:rsidRDefault="00110AD1">
      <w:pPr>
        <w:spacing w:after="60"/>
        <w:ind w:firstLine="360"/>
        <w:jc w:val="both"/>
      </w:pPr>
      <w:r w:rsidRPr="00110AD1">
        <w:t>Depression is one of the leading reasons of worldwide disability, influencing a projected 280 million individuals across all age groups and socioeconomic strata [1]. Major Depressive Disorder (MDD) is characterised by persistent low mood, anhedonia, cognitive impairment, sleep and appetite disturbances, and in serious instances, suicidal conceptualization. Despite the availability of effective pharmacological and psychotherapeutic interventions, the median delay between symptom onset and clinical diagnosis exceeds eleven years, largely attributable to stigma, under-resourced mental condition systems, and the personal nature of standard rating instruments such as the Patient Health Questionnaire-9 (PHQ-9) and Hamilton Depression Rating Scale (HDRS) [2].</w:t>
      </w:r>
    </w:p>
    <w:p w14:paraId="6BB8778D" w14:textId="77777777" w:rsidR="00110AD1" w:rsidRDefault="00110AD1">
      <w:pPr>
        <w:spacing w:after="60"/>
        <w:ind w:firstLine="360"/>
        <w:jc w:val="both"/>
      </w:pPr>
      <w:r w:rsidRPr="00110AD1">
        <w:t xml:space="preserve">The swift and speedy proliferation of digital data sources, incorporating social media content, clinical interviews, wearable sensor streams, and neurophysiological recordings, has developed a novel and unparalleled chance for impartial, scalable depression screening. Machine learning (ML) and deep learning (DL) approaches now routinely accomplish classification accuracy surpassing 90% on curated benchmark datasets [3], [4]. Nevertheless, three systemic limitations impede clinical translation: (i) poor generalisation beyond the training distribution, (ii) opacity of model decisions, which erodes clinician trust, and (iii) privacy risks inherent in </w:t>
      </w:r>
    </w:p>
    <w:p w14:paraId="12B8032E" w14:textId="77777777" w:rsidR="00110AD1" w:rsidRDefault="00110AD1">
      <w:pPr>
        <w:spacing w:after="60"/>
        <w:ind w:firstLine="360"/>
        <w:jc w:val="both"/>
      </w:pPr>
    </w:p>
    <w:p w14:paraId="249BA8CA" w14:textId="77777777" w:rsidR="00110AD1" w:rsidRDefault="00110AD1">
      <w:pPr>
        <w:spacing w:after="60"/>
        <w:ind w:firstLine="360"/>
        <w:jc w:val="both"/>
      </w:pPr>
    </w:p>
    <w:p w14:paraId="6B2C8BF8" w14:textId="385EB6E8" w:rsidR="00087DF9" w:rsidRDefault="00110AD1">
      <w:pPr>
        <w:spacing w:after="60"/>
        <w:ind w:firstLine="360"/>
        <w:jc w:val="both"/>
      </w:pPr>
      <w:r w:rsidRPr="00110AD1">
        <w:t>aggregating sensitive condition data on centralised servers [5].</w:t>
      </w:r>
      <w:r w:rsidRPr="00110AD1">
        <w:t xml:space="preserve"> </w:t>
      </w:r>
      <w:r w:rsidRPr="00110AD1">
        <w:t>Federated Learning (FL) provides a principled solution to the privacy difficulty by permitting model training across distributed local nodes without transmitting raw patient data [6]. Simultaneously, Explainable Artificial Intelligence (XAI) techniques such as SHAP (SHapley Additive elucidations) and attention visualisation provide the clinical interpretability required for regulatory approval. However, no existing framework coherently incorporates multimodal fusion, privacy-preserving training, fairness regularisation, and clinically actionable XAI within a single, confirmed system.</w:t>
      </w:r>
    </w:p>
    <w:p w14:paraId="7A5D6A7C" w14:textId="77777777" w:rsidR="00110AD1" w:rsidRDefault="00110AD1" w:rsidP="00110AD1">
      <w:pPr>
        <w:spacing w:before="200" w:after="100"/>
        <w:rPr>
          <w:b/>
          <w:bCs/>
        </w:rPr>
      </w:pPr>
      <w:r w:rsidRPr="00110AD1">
        <w:t>To address this gap, this paper presents PPEMDD, an integrated ten-layer architecture that: (a) handles five complementary data methods through modality-specific encoders; (b) performs reliability-weighted flexible and adjustable fusion employing a Dynamic Gating Network and Multi-Head Cross-Attention; (c) concurrently forecasts binary depression status, PHQ-9 gravity score, and per-symptom DSM-5 probabilities via multi-task learning; (d) enforces fairness through adversarial debiasing; (e) delivers SHAP, attention heatmap, and counterfactual elucidations; and (f) trains federatively with ε-differential privacy. The remainder of this paper is organised as follows: Section II surveys the literature; Section III identifies the study gap, problem statement, and objectives; Section IV describes the proposed system architecture and mathematical formulation; and Section V concludes with future directions.</w:t>
      </w:r>
      <w:r w:rsidR="00000000">
        <w:rPr>
          <w:b/>
          <w:bCs/>
        </w:rPr>
        <w:t xml:space="preserve">II. </w:t>
      </w:r>
    </w:p>
    <w:p w14:paraId="298AB85D" w14:textId="1B7F3693" w:rsidR="00087DF9" w:rsidRDefault="00000000" w:rsidP="00110AD1">
      <w:pPr>
        <w:spacing w:before="200" w:after="100"/>
        <w:jc w:val="center"/>
      </w:pPr>
      <w:r>
        <w:rPr>
          <w:b/>
          <w:bCs/>
        </w:rPr>
        <w:lastRenderedPageBreak/>
        <w:t>LITERATURE SURVEY</w:t>
      </w:r>
    </w:p>
    <w:p w14:paraId="55122C33" w14:textId="77777777" w:rsidR="00110AD1" w:rsidRDefault="00110AD1" w:rsidP="00110AD1">
      <w:pPr>
        <w:spacing w:before="100" w:after="60"/>
        <w:jc w:val="both"/>
      </w:pPr>
      <w:r w:rsidRPr="00110AD1">
        <w:t>A complete and thorough review of 2026 peer-reviewed literature and fundamental prior work across five modality kinds is presented below</w:t>
      </w:r>
    </w:p>
    <w:p w14:paraId="7CA73C56" w14:textId="55DE87F2" w:rsidR="00087DF9" w:rsidRPr="00110AD1" w:rsidRDefault="00000000" w:rsidP="00110AD1">
      <w:pPr>
        <w:spacing w:before="100" w:after="60"/>
        <w:jc w:val="both"/>
      </w:pPr>
      <w:r>
        <w:rPr>
          <w:b/>
          <w:bCs/>
          <w:i/>
          <w:iCs/>
        </w:rPr>
        <w:t xml:space="preserve">A. </w:t>
      </w:r>
      <w:r w:rsidR="00110AD1" w:rsidRPr="00110AD1">
        <w:rPr>
          <w:b/>
          <w:bCs/>
          <w:i/>
          <w:iCs/>
        </w:rPr>
        <w:t xml:space="preserve">Text and Social Media NLP </w:t>
      </w:r>
      <w:r w:rsidR="00110AD1" w:rsidRPr="00110AD1">
        <w:rPr>
          <w:i/>
          <w:iCs/>
        </w:rPr>
        <w:t>Approaches [1] Fisher et al. (2026) conducted a systematic meta-analysis of 43 NLP and ML studies (40,983 samples) released in npj Digital Medicine. Applying random-effects pooling across classifiers utilising linguistic features and sentence embeddings, they reported a pooled classification accuracy of 0.80 (95% CI 0.76–0.83), precision of 0.78, recall of 0.76, and AUC of 0.79. Subgroup analysis revealed greater accuracy for non-English corpora and embedding-based representations. However, the substantial inter-study heterogeneity (I² ≈ 98%) and restricted reliance on released results restrict inferential strength. The authors emphasised that accuracy exclusively is deceptive under class disparity and advocated standardised metric reporting across studies.</w:t>
      </w:r>
    </w:p>
    <w:p w14:paraId="6ED36478" w14:textId="77777777" w:rsidR="00110AD1" w:rsidRDefault="00110AD1">
      <w:pPr>
        <w:spacing w:after="60"/>
        <w:jc w:val="both"/>
        <w:rPr>
          <w:b/>
          <w:bCs/>
        </w:rPr>
      </w:pPr>
      <w:r w:rsidRPr="00110AD1">
        <w:rPr>
          <w:b/>
          <w:bCs/>
        </w:rPr>
        <w:t xml:space="preserve">[2] Zhang et al. (2026) reported </w:t>
      </w:r>
      <w:r w:rsidRPr="00110AD1">
        <w:t>a meta-analysis in the Journal of Medical Internet Research covering 13 studies utilizing gold-standard clinical labels (PHQ-9 or clinician diagnosis). The pooled effect-size correlation was r =0.605 (95% CI 0.498–0.693), indicating robust predictive power. BERT/RoBERTa embedding-based models significantly outperformed traditional lexical feature models (r ≈ 0.74 vs. 0.50). Studies applying clinician-annotated labels surpassed those depending on self-report scales (r ≈ 0.69 vs. 0.50), confirming that label quality is a primary driver of performance.</w:t>
      </w:r>
      <w:r w:rsidRPr="00110AD1">
        <w:rPr>
          <w:b/>
          <w:bCs/>
        </w:rPr>
        <w:t xml:space="preserve"> </w:t>
      </w:r>
    </w:p>
    <w:p w14:paraId="2193EAA4" w14:textId="77777777" w:rsidR="00110AD1" w:rsidRDefault="00110AD1">
      <w:pPr>
        <w:spacing w:after="60"/>
        <w:jc w:val="both"/>
        <w:rPr>
          <w:b/>
          <w:bCs/>
        </w:rPr>
      </w:pPr>
      <w:r w:rsidRPr="00110AD1">
        <w:rPr>
          <w:b/>
          <w:bCs/>
        </w:rPr>
        <w:t xml:space="preserve">[3] Thamrin and Chen (2026) </w:t>
      </w:r>
      <w:r w:rsidRPr="00110AD1">
        <w:t>developed a Twitter-based depression detector released in Health Information Science and Systems. They fine-tuned ModernBERT with LSTM and designed user-level emotional status features on a self-collected dataset of 5,400 users (50% depressed). The best configuration attained F1 =0.9937. Despite this near-perfect score, the authors acknowledged hallucinations in LLM-generated elucidations (alignment ratio ARH &lt; 0.4) and potential label leakage from self-reported diagnoses.</w:t>
      </w:r>
      <w:r w:rsidRPr="00110AD1">
        <w:t xml:space="preserve"> </w:t>
      </w:r>
    </w:p>
    <w:p w14:paraId="26496E82" w14:textId="1A1AC817" w:rsidR="00087DF9" w:rsidRDefault="00000000">
      <w:pPr>
        <w:spacing w:after="60"/>
        <w:jc w:val="both"/>
      </w:pPr>
      <w:r>
        <w:rPr>
          <w:b/>
          <w:bCs/>
        </w:rPr>
        <w:t>[4] Jin and Zhang (2026)</w:t>
      </w:r>
      <w:r w:rsidR="00110AD1" w:rsidRPr="00110AD1">
        <w:t xml:space="preserve"> </w:t>
      </w:r>
      <w:r w:rsidR="00110AD1" w:rsidRPr="00110AD1">
        <w:t>proposed a multi-task BERT-BiLSTM model in Electronics applied to the WU3D Weibo dataset (32,570 users, 2.19 M entries). Hierarchical attention and DSM-5-guided multi-task learning for depression classification, symptom recognition, and gravity prediction produced F1 =91.8%, outperforming GPT-4 few-shot (86.9%). Class disparity (4.3% depressed) was reduced via balanced sampling. Limitations contain rule-based labels (</w:t>
      </w:r>
      <w:r w:rsidR="00110AD1" w:rsidRPr="00110AD1">
        <w:rPr>
          <w:rFonts w:ascii="Cambria Math" w:hAnsi="Cambria Math" w:cs="Cambria Math"/>
        </w:rPr>
        <w:t>∼</w:t>
      </w:r>
      <w:r w:rsidR="00110AD1" w:rsidRPr="00110AD1">
        <w:t xml:space="preserve"> 18% noise) and lack of exterior validation.</w:t>
      </w:r>
    </w:p>
    <w:p w14:paraId="10CCA5DE" w14:textId="77777777" w:rsidR="0004511D" w:rsidRDefault="00000000" w:rsidP="0004511D">
      <w:pPr>
        <w:spacing w:after="60"/>
        <w:jc w:val="both"/>
      </w:pPr>
      <w:r>
        <w:rPr>
          <w:b/>
          <w:bCs/>
        </w:rPr>
        <w:t>[5] Tadesse et al. (2019)</w:t>
      </w:r>
      <w:r>
        <w:t xml:space="preserve"> </w:t>
      </w:r>
      <w:r w:rsidR="0004511D" w:rsidRPr="0004511D">
        <w:t>applied feature engineering over Reddit entries, utilising LIWC, LDA topic modelling, and bigram features, demonstrating 91% accuracy with an SVM-based ensemble on the CLPsych 2015 dataset. This essential work founded the effectiveness of hybrid linguistic-behavioural feature pipelines for social media depression screening.</w:t>
      </w:r>
    </w:p>
    <w:p w14:paraId="16AC067E" w14:textId="44E142CE" w:rsidR="00087DF9" w:rsidRDefault="00000000" w:rsidP="0004511D">
      <w:pPr>
        <w:spacing w:after="60"/>
        <w:jc w:val="both"/>
      </w:pPr>
      <w:r>
        <w:rPr>
          <w:b/>
          <w:bCs/>
          <w:i/>
          <w:iCs/>
        </w:rPr>
        <w:t>B. Multimodal Approaches</w:t>
      </w:r>
    </w:p>
    <w:p w14:paraId="5086A9BD" w14:textId="77777777" w:rsidR="0004511D" w:rsidRDefault="00000000">
      <w:pPr>
        <w:spacing w:after="60"/>
        <w:jc w:val="both"/>
      </w:pPr>
      <w:r>
        <w:rPr>
          <w:b/>
          <w:bCs/>
        </w:rPr>
        <w:t>[6] Khan et al. (2026)</w:t>
      </w:r>
      <w:r>
        <w:t xml:space="preserve"> </w:t>
      </w:r>
      <w:r w:rsidR="0004511D" w:rsidRPr="0004511D">
        <w:t xml:space="preserve">presented a responsive and versatile multimodal depression detection framework in Mathematics </w:t>
      </w:r>
      <w:r w:rsidR="0004511D" w:rsidRPr="0004511D">
        <w:t>integrating RoBERTa for writing, openSMILE for audio, and CNN/RNN for video. A Dynamic Gating Network weighted methods by availability, and Multi-Head Attention captured inter-modal dependencies. A fairness regulariser and XAI module were integrated. Reported outcomes on DAIC-WOZ (F1 =0.914, Accuracy =93.0%), StudentSADD (F1 =0.820), and Moodable (F1 =0.803) demonstrate steady and regular multi-dataset validity, though code and data continue unreleased.</w:t>
      </w:r>
      <w:r w:rsidR="0004511D" w:rsidRPr="0004511D">
        <w:t xml:space="preserve"> </w:t>
      </w:r>
    </w:p>
    <w:p w14:paraId="707F19A4" w14:textId="6FFFD8D4" w:rsidR="00087DF9" w:rsidRDefault="00000000">
      <w:pPr>
        <w:spacing w:after="60"/>
        <w:jc w:val="both"/>
      </w:pPr>
      <w:r>
        <w:rPr>
          <w:b/>
          <w:bCs/>
        </w:rPr>
        <w:t>[7] Esmi et al. (2026</w:t>
      </w:r>
      <w:r w:rsidR="0004511D">
        <w:rPr>
          <w:b/>
          <w:bCs/>
        </w:rPr>
        <w:t>)</w:t>
      </w:r>
      <w:r w:rsidR="0004511D" w:rsidRPr="0004511D">
        <w:t xml:space="preserve"> </w:t>
      </w:r>
      <w:r w:rsidR="0004511D" w:rsidRPr="0004511D">
        <w:t>fused EEG spectral-spatial features with linguistic and paralinguistic signals via cross-attention in Biomedical Signal Processing and Control. Applied to MODMA and DAIC-WOZ, the multimodal transformer accomplished a +4.7% accuracy increase and +10% precision improvement over the state of the art. Temporal sequence correspondence was introduced to reduce EEG channel necessities. A limitation is the lack of absolute baseline metrics, making cross-study comparison challenging.</w:t>
      </w:r>
    </w:p>
    <w:p w14:paraId="570789C2" w14:textId="5B15836C" w:rsidR="00087DF9" w:rsidRDefault="00000000">
      <w:pPr>
        <w:spacing w:after="60"/>
        <w:jc w:val="both"/>
      </w:pPr>
      <w:r>
        <w:rPr>
          <w:b/>
          <w:bCs/>
        </w:rPr>
        <w:t>[8] Alhanai et al. (2018)</w:t>
      </w:r>
      <w:r>
        <w:t xml:space="preserve"> </w:t>
      </w:r>
      <w:r w:rsidR="0004511D" w:rsidRPr="0004511D">
        <w:t>introduced the widely-used DAIC-WOZ dataset and a gated recurrent unit-based system merging audio features and transcribed speech sequences for depression detection during clinical interviews, establishing a benchmark for multimodal interview-based detection with AUC ≈ 0.83.</w:t>
      </w:r>
    </w:p>
    <w:p w14:paraId="573CC7F1" w14:textId="75A3E2CE" w:rsidR="00087DF9" w:rsidRDefault="00000000">
      <w:pPr>
        <w:spacing w:after="60"/>
        <w:jc w:val="both"/>
      </w:pPr>
      <w:r>
        <w:rPr>
          <w:b/>
          <w:bCs/>
        </w:rPr>
        <w:t>[9] Williamson et al. (2016)</w:t>
      </w:r>
      <w:r>
        <w:t xml:space="preserve"> </w:t>
      </w:r>
      <w:r w:rsidR="0004511D" w:rsidRPr="0004511D">
        <w:t>analysed vocal, cognitive, and structural transcript features in depression detection at Interspeech, demonstrating that prosodic and lexical features from organized and systematic clinical interviews complement each other and contribute complementary predictive power, with accuracy reaching 79% on the AVEC 2013 body.</w:t>
      </w:r>
    </w:p>
    <w:p w14:paraId="51CF5B0A" w14:textId="4416CDCF" w:rsidR="00087DF9" w:rsidRDefault="00000000">
      <w:pPr>
        <w:spacing w:after="60"/>
        <w:jc w:val="both"/>
      </w:pPr>
      <w:r>
        <w:rPr>
          <w:b/>
          <w:bCs/>
        </w:rPr>
        <w:t>[10] Sun et al. (2023)</w:t>
      </w:r>
      <w:r>
        <w:t xml:space="preserve"> </w:t>
      </w:r>
      <w:r w:rsidR="0004511D" w:rsidRPr="0004511D">
        <w:t>proposed a two-stream Transformer framework in Neurocomputing processing both acoustic spectrograms and linguistic tokens via parallel attention encoders. Cross-stream attention aggregated modality representations for binary classification, achieving 85.6% accuracy on DAIC-WOZ. The work demonstrated that Transformer architectures naturally capture long-range temporal dependencies in both speech and content methods.</w:t>
      </w:r>
    </w:p>
    <w:p w14:paraId="1AE47D74" w14:textId="77777777" w:rsidR="00087DF9" w:rsidRDefault="00000000">
      <w:pPr>
        <w:spacing w:before="100" w:after="60"/>
        <w:jc w:val="both"/>
      </w:pPr>
      <w:r>
        <w:rPr>
          <w:b/>
          <w:bCs/>
          <w:i/>
          <w:iCs/>
        </w:rPr>
        <w:t>C. EEG and Physiological Signal Approaches</w:t>
      </w:r>
    </w:p>
    <w:p w14:paraId="4AAD976B" w14:textId="072CE4F7" w:rsidR="00087DF9" w:rsidRDefault="00000000">
      <w:pPr>
        <w:spacing w:after="60"/>
        <w:jc w:val="both"/>
      </w:pPr>
      <w:r>
        <w:rPr>
          <w:b/>
          <w:bCs/>
        </w:rPr>
        <w:t>[11] Olbrich et al. (2026)</w:t>
      </w:r>
      <w:r>
        <w:t xml:space="preserve"> </w:t>
      </w:r>
      <w:r w:rsidR="0004511D" w:rsidRPr="0004511D">
        <w:t>analyzed EEG-based deep learning for MDD diagnosis and SSRI treatment response prediction in Communications Medicine. Training DL models on six independent EEG datasets (n =349), they attained 67.5% mean accuracy for MDD vs. healthy control classification and 79% for SSRI response prediction. Gradient-CAM highlighted alpha-band activity in frontal/parietal regions as fundamental biomarkers, uniform and unchanging with prior neurophysiological literature. The study highlights the real-world difficulty of EEG-only methods.</w:t>
      </w:r>
    </w:p>
    <w:p w14:paraId="461A750F" w14:textId="77777777" w:rsidR="0004511D" w:rsidRDefault="00000000">
      <w:pPr>
        <w:spacing w:after="60"/>
        <w:jc w:val="both"/>
      </w:pPr>
      <w:r>
        <w:rPr>
          <w:b/>
          <w:bCs/>
        </w:rPr>
        <w:t>[12] Baek et al. (2026)</w:t>
      </w:r>
      <w:r>
        <w:t xml:space="preserve"> </w:t>
      </w:r>
      <w:r w:rsidR="0004511D" w:rsidRPr="0004511D">
        <w:t xml:space="preserve">proposed a stacking ensemble ML framework in Translational Psychiatry extracting heart rate variability (HRV) from facial video (rPPG) as a contactless depression biomarker. Applied to 1,453 topics, the model attained AUROC ≈ 0.64 and MCC ≈ 0.21, significantly limited by demographic confounders (for instance, obesity-related </w:t>
      </w:r>
      <w:r w:rsidR="0004511D" w:rsidRPr="0004511D">
        <w:lastRenderedPageBreak/>
        <w:t>HRV suppression). This highlights the need for multi-modal augmentation beyond contactless physiological signals.</w:t>
      </w:r>
      <w:r w:rsidR="0004511D" w:rsidRPr="0004511D">
        <w:t xml:space="preserve"> </w:t>
      </w:r>
    </w:p>
    <w:p w14:paraId="01F7AFE4" w14:textId="77777777" w:rsidR="0004511D" w:rsidRDefault="00000000" w:rsidP="0004511D">
      <w:pPr>
        <w:spacing w:after="60"/>
        <w:jc w:val="both"/>
      </w:pPr>
      <w:r>
        <w:rPr>
          <w:b/>
          <w:bCs/>
        </w:rPr>
        <w:t>[13] Abuhassan et al. (2024)</w:t>
      </w:r>
      <w:r>
        <w:t xml:space="preserve"> </w:t>
      </w:r>
      <w:r w:rsidR="0004511D" w:rsidRPr="0004511D">
        <w:t>methodically examined EEG-based deep learning approaches for depression screening across 37 studies in IEEE Access. They identified CNN and LSTM architectures applied to delta/theta/alpha band power features as predominant and prevailing methods, with pooled accuracy 74.3%. Key recommendations included standardised electrode placement protocols and multi-site validation to improve reproducibility. [14] Kang et al. (2023) proposed an EEG-based Temporal-Spatial Attention Network in IEEE Transactions on Neural Systems and Rehabilitation Engineering, learning electrode value through channel attention. Applied to MODMA, the model accomplished 78.4% accuracy, outperforming standard SVM benchmarks by 9.2 percentage points and demonstrating the advantage of learned spatial weighting over corrected electrode subsets.</w:t>
      </w:r>
    </w:p>
    <w:p w14:paraId="6AA0C254" w14:textId="3B2E802A" w:rsidR="00087DF9" w:rsidRDefault="00000000" w:rsidP="0004511D">
      <w:pPr>
        <w:spacing w:after="60"/>
        <w:jc w:val="both"/>
      </w:pPr>
      <w:r>
        <w:rPr>
          <w:b/>
          <w:bCs/>
          <w:i/>
          <w:iCs/>
        </w:rPr>
        <w:t>D. Wearable and Sensor Data Approaches</w:t>
      </w:r>
    </w:p>
    <w:p w14:paraId="344BF36C" w14:textId="4101237F" w:rsidR="00087DF9" w:rsidRDefault="00000000">
      <w:pPr>
        <w:spacing w:after="60"/>
        <w:jc w:val="both"/>
      </w:pPr>
      <w:r>
        <w:rPr>
          <w:b/>
          <w:bCs/>
        </w:rPr>
        <w:t>[15] Liu et al. (2026)</w:t>
      </w:r>
      <w:r>
        <w:t xml:space="preserve"> </w:t>
      </w:r>
      <w:r w:rsidR="0004511D" w:rsidRPr="0004511D">
        <w:t>performed a structured and orderly review and meta-analysis of 16 AI studies utilizing wearable sensors in JMIR Mental Health (32 datasets, 1,189 patients). Random-effects pooling produced sensitivity =0.89 (CI 0.83–0.93), specificity =0.93, and AUC =0.96. Random forests accomplished the best AUC (0.97). However, all included studies were retrospective and single-cohort, and the authors flagged high heterogeneity across sensor categories and populations as an essential limitation for clinical deployment.</w:t>
      </w:r>
    </w:p>
    <w:p w14:paraId="60C64715" w14:textId="484FFD03" w:rsidR="00087DF9" w:rsidRDefault="00000000">
      <w:pPr>
        <w:spacing w:after="60"/>
        <w:jc w:val="both"/>
      </w:pPr>
      <w:r>
        <w:rPr>
          <w:b/>
          <w:bCs/>
        </w:rPr>
        <w:t>[16] Kong et al. (2026)</w:t>
      </w:r>
      <w:r>
        <w:t xml:space="preserve"> </w:t>
      </w:r>
      <w:r w:rsidR="0004511D" w:rsidRPr="0004511D">
        <w:t>integrated fine-tuned GPT LLMs with 7-day actigraphy from 2,437 adults in Scientific Reports. Weekday united model accuracy reached 90.3% (specificity 94.5%), significantly outperforming clinical-only models (accuracy 63.5%). The OR-based statistical prompting approach for LLMs denotes an innovative approach to organized and systematic data reasoning, though the hospital-recruited South Korean sample limits demographic generalisability.</w:t>
      </w:r>
    </w:p>
    <w:p w14:paraId="31A1CA18" w14:textId="0FEDBB6F" w:rsidR="00087DF9" w:rsidRDefault="00000000">
      <w:pPr>
        <w:spacing w:after="60"/>
        <w:jc w:val="both"/>
      </w:pPr>
      <w:r>
        <w:rPr>
          <w:b/>
          <w:bCs/>
        </w:rPr>
        <w:t>[17] Ko et al. (2026)</w:t>
      </w:r>
      <w:r>
        <w:t xml:space="preserve"> </w:t>
      </w:r>
      <w:r w:rsidR="0004511D" w:rsidRPr="0004511D">
        <w:t>applied ensemble feature choice (RF, XGBoost, LIME) followed by a hybrid CNN-MLP-LightGBM pipeline to wearable tabular data in Journal of Medical Systems. The best model accomplished 93.43% accuracy. SHAP and LIME clarifications identified sleep length and activity metrics as predominant and prevailing predictors, offering clinically comprehensible insights. Limitations contain an undisclosed dataset and the lack of AUC reporting.</w:t>
      </w:r>
    </w:p>
    <w:p w14:paraId="26D2CFEA" w14:textId="126B63C0" w:rsidR="00087DF9" w:rsidRDefault="00000000">
      <w:pPr>
        <w:spacing w:after="60"/>
        <w:jc w:val="both"/>
      </w:pPr>
      <w:r>
        <w:rPr>
          <w:b/>
          <w:bCs/>
        </w:rPr>
        <w:t>[18] Naseem et al. (2021)</w:t>
      </w:r>
      <w:r>
        <w:t xml:space="preserve"> </w:t>
      </w:r>
      <w:r w:rsidR="0004511D" w:rsidRPr="0004511D">
        <w:t>exhaustively examined content and multimodal methods in Artificial Intelligence Review, cataloguing 150 +studies and identifying transfer learning with domain-specific pre-training as the most auspicious and favourable direction. The review founded a taxonomy of features (lexical, semantic, acoustic, visual, physiological) that informs the modality design of the present framework.</w:t>
      </w:r>
    </w:p>
    <w:p w14:paraId="007F0BA5" w14:textId="77777777" w:rsidR="00087DF9" w:rsidRDefault="00000000">
      <w:pPr>
        <w:spacing w:before="100" w:after="60"/>
        <w:jc w:val="both"/>
      </w:pPr>
      <w:r>
        <w:rPr>
          <w:b/>
          <w:bCs/>
          <w:i/>
          <w:iCs/>
        </w:rPr>
        <w:t>E. Explainability, Fairness, and Privacy-Preserving Approaches</w:t>
      </w:r>
    </w:p>
    <w:p w14:paraId="7726BAD3" w14:textId="77777777" w:rsidR="0004511D" w:rsidRDefault="00000000" w:rsidP="0004511D">
      <w:pPr>
        <w:spacing w:after="60"/>
        <w:jc w:val="both"/>
      </w:pPr>
      <w:r>
        <w:rPr>
          <w:b/>
          <w:bCs/>
        </w:rPr>
        <w:t>[19] Lin et al. (2024)</w:t>
      </w:r>
      <w:r>
        <w:t xml:space="preserve"> </w:t>
      </w:r>
      <w:r w:rsidR="0004511D" w:rsidRPr="0004511D">
        <w:t xml:space="preserve">analyzed SHAP-based feature attribution for multimodal depression detection in IEEE Transactions on </w:t>
      </w:r>
      <w:r w:rsidR="0004511D" w:rsidRPr="0004511D">
        <w:t>Neural Systems and Rehabilitation Engineering, demonstrating that sleep regularity, negative sentiment ratio, and frontal alpha power is consistently ranked as top predictors across varied populations. Their longitudinal SHAP analysis revealed that feature value develops during depressive events, inspiring temporal modelling plans. [20] Li et al. (2023) proposed FedMentalHealth, a privacy-preserving federated learning framework for depression detection, assessed at the AAAI conference. Their system combined FedAVG compilation with gradient clipping and Gaussian noise injection for ε-DP guarantees. Experiments across three hospital clients demonstrated that the federated model accomplished within 2.3% accuracy of the centralised baseline, verifying the practicality of federated training for sensitive mental condition data.</w:t>
      </w:r>
    </w:p>
    <w:p w14:paraId="4C654311" w14:textId="4F47236C" w:rsidR="00087DF9" w:rsidRDefault="00000000" w:rsidP="0004511D">
      <w:pPr>
        <w:spacing w:after="60"/>
        <w:jc w:val="both"/>
      </w:pPr>
      <w:r>
        <w:rPr>
          <w:b/>
          <w:bCs/>
          <w:i/>
          <w:iCs/>
        </w:rPr>
        <w:t>F. Research Gap</w:t>
      </w:r>
    </w:p>
    <w:p w14:paraId="3BD975BD" w14:textId="77777777" w:rsidR="0004511D" w:rsidRDefault="0004511D">
      <w:pPr>
        <w:spacing w:before="100" w:after="60"/>
        <w:jc w:val="both"/>
      </w:pPr>
      <w:r w:rsidRPr="0004511D">
        <w:t>The examined literature shows five converging gaps. First, no single released system together addresses multimodal fusion, explainability, fairness, and federated privacy within a clinically deployable architecture. Second, most high-performing models are assessed on single datasets and lack cross-dataset generalisation evidence. Third, weak or noisy labels derived from self-report questionnaires and social media methods lower the dependability of supervised training. Fourth, real-world robustness to missing modalities; arising from device failure or patient non-compliance; remains largely unaddressed. Fifth, fairness auditing across demographic subgroups is seldom conducted, producing risks of unfair diagnosis results in vulnerable populations.</w:t>
      </w:r>
    </w:p>
    <w:p w14:paraId="759C5EC9" w14:textId="69AA0D9F" w:rsidR="00087DF9" w:rsidRDefault="00000000">
      <w:pPr>
        <w:spacing w:before="100" w:after="60"/>
        <w:jc w:val="both"/>
      </w:pPr>
      <w:r>
        <w:rPr>
          <w:b/>
          <w:bCs/>
          <w:i/>
          <w:iCs/>
        </w:rPr>
        <w:t>G. Problem Statement</w:t>
      </w:r>
    </w:p>
    <w:p w14:paraId="1641CF65" w14:textId="77777777" w:rsidR="0004511D" w:rsidRDefault="0004511D">
      <w:pPr>
        <w:spacing w:before="100" w:after="60"/>
        <w:jc w:val="both"/>
      </w:pPr>
      <w:r w:rsidRPr="0004511D">
        <w:t>Given a mixed, distributed collection of patient records comprising textual entries, EEG recordings, wearable sensor streams, audio/video interview data, and clinical assessment scores, the goal is to learn a privacy-preserving, fair, and understandable predictive model that concurrently (a) classifies each patient as depressed or non-depressed, (b) estimates PHQ-9 gravity, and (c) identifies active DSM-5 symptoms, without transmitting raw patient data beyond local organizational boundaries.</w:t>
      </w:r>
    </w:p>
    <w:p w14:paraId="4749BE49" w14:textId="780C9876" w:rsidR="00087DF9" w:rsidRDefault="00000000">
      <w:pPr>
        <w:spacing w:before="100" w:after="60"/>
        <w:jc w:val="both"/>
      </w:pPr>
      <w:r>
        <w:rPr>
          <w:b/>
          <w:bCs/>
          <w:i/>
          <w:iCs/>
        </w:rPr>
        <w:t>H. Objectives</w:t>
      </w:r>
    </w:p>
    <w:p w14:paraId="3C1AEB56" w14:textId="77777777" w:rsidR="0004511D" w:rsidRDefault="0004511D" w:rsidP="0004511D">
      <w:pPr>
        <w:spacing w:before="200" w:after="100"/>
      </w:pPr>
      <w:r w:rsidRPr="0004511D">
        <w:t>1) To create a five-modality input pipeline with federated privacy boundaries guaranteeing raw data locality.</w:t>
      </w:r>
    </w:p>
    <w:p w14:paraId="2CA2F196" w14:textId="77777777" w:rsidR="0004511D" w:rsidRDefault="0004511D" w:rsidP="0004511D">
      <w:pPr>
        <w:spacing w:before="200" w:after="100"/>
      </w:pPr>
      <w:r w:rsidRPr="0004511D">
        <w:t xml:space="preserve"> 2) To develop modality-specific preprocessing and feature extraction modules for content, EEG, wearable, audio/video, and clinical data. </w:t>
      </w:r>
    </w:p>
    <w:p w14:paraId="5815FBA9" w14:textId="77777777" w:rsidR="0004511D" w:rsidRDefault="0004511D" w:rsidP="0004511D">
      <w:pPr>
        <w:spacing w:before="200" w:after="100"/>
      </w:pPr>
      <w:r w:rsidRPr="0004511D">
        <w:t>3) To execute a responsive and versatile cross-modal fusion mechanism capable of handling missing methods at inference time.</w:t>
      </w:r>
    </w:p>
    <w:p w14:paraId="4AE895D5" w14:textId="77777777" w:rsidR="0004511D" w:rsidRDefault="0004511D" w:rsidP="0004511D">
      <w:pPr>
        <w:spacing w:before="200" w:after="100"/>
      </w:pPr>
      <w:r w:rsidRPr="0004511D">
        <w:t xml:space="preserve"> 4) To construct a multi-task learning head for binary classification, seriousness regression, and DSM-5 symptom recognition.</w:t>
      </w:r>
    </w:p>
    <w:p w14:paraId="5456BFEF" w14:textId="77777777" w:rsidR="0004511D" w:rsidRDefault="0004511D" w:rsidP="0004511D">
      <w:pPr>
        <w:spacing w:before="200" w:after="100"/>
      </w:pPr>
      <w:r w:rsidRPr="0004511D">
        <w:lastRenderedPageBreak/>
        <w:t xml:space="preserve"> 5) To enforce demographic fairness through adversarial regularisation across gender, age, language, and culture. </w:t>
      </w:r>
    </w:p>
    <w:p w14:paraId="7948E343" w14:textId="77777777" w:rsidR="0004511D" w:rsidRDefault="0004511D" w:rsidP="0004511D">
      <w:pPr>
        <w:spacing w:before="200" w:after="100"/>
      </w:pPr>
      <w:r w:rsidRPr="0004511D">
        <w:t>6) To integrate XAI modules (SHAP, attention heatmaps, counterfactual clarifications) for clinical interpretability.</w:t>
      </w:r>
    </w:p>
    <w:p w14:paraId="44ED21E5" w14:textId="77777777" w:rsidR="0004511D" w:rsidRDefault="0004511D" w:rsidP="0004511D">
      <w:pPr>
        <w:spacing w:before="200" w:after="100"/>
      </w:pPr>
      <w:r w:rsidRPr="0004511D">
        <w:t xml:space="preserve"> 7) To train the worldwide model federatively with ε-differential privacy guarantees utilizing FedAVG.</w:t>
      </w:r>
    </w:p>
    <w:p w14:paraId="4B1B8132" w14:textId="77777777" w:rsidR="0004511D" w:rsidRDefault="0004511D" w:rsidP="0004511D">
      <w:pPr>
        <w:spacing w:before="200" w:after="100"/>
      </w:pPr>
      <w:r w:rsidRPr="0004511D">
        <w:t xml:space="preserve"> 8) To verify the framework via Leave-One-Dataset-Out (LODO) cross-validation on six benchmark datasets.</w:t>
      </w:r>
    </w:p>
    <w:p w14:paraId="71B01001" w14:textId="79384988" w:rsidR="00087DF9" w:rsidRDefault="00000000" w:rsidP="0004511D">
      <w:pPr>
        <w:spacing w:before="200" w:after="100"/>
        <w:jc w:val="center"/>
        <w:rPr>
          <w:b/>
          <w:bCs/>
        </w:rPr>
      </w:pPr>
      <w:r>
        <w:rPr>
          <w:b/>
          <w:bCs/>
        </w:rPr>
        <w:t>III. PROPOSED SYSTEM</w:t>
      </w:r>
    </w:p>
    <w:p w14:paraId="339D9E88" w14:textId="29C51168" w:rsidR="00AD31FC" w:rsidRDefault="00AD31FC" w:rsidP="0004511D">
      <w:pPr>
        <w:spacing w:before="200" w:after="100"/>
        <w:jc w:val="center"/>
      </w:pPr>
      <w:r>
        <w:rPr>
          <w:noProof/>
        </w:rPr>
        <w:drawing>
          <wp:inline distT="0" distB="0" distL="0" distR="0" wp14:anchorId="0839956E" wp14:editId="0390A7A3">
            <wp:extent cx="3200400" cy="5020310"/>
            <wp:effectExtent l="0" t="0" r="0" b="8890"/>
            <wp:docPr id="131637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73272" name="Picture 13163732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0400" cy="5020310"/>
                    </a:xfrm>
                    <a:prstGeom prst="rect">
                      <a:avLst/>
                    </a:prstGeom>
                  </pic:spPr>
                </pic:pic>
              </a:graphicData>
            </a:graphic>
          </wp:inline>
        </w:drawing>
      </w:r>
    </w:p>
    <w:p w14:paraId="0EEAD4EF" w14:textId="77777777" w:rsidR="00604C3B" w:rsidRDefault="00604C3B">
      <w:pPr>
        <w:spacing w:before="100" w:after="60"/>
        <w:jc w:val="both"/>
      </w:pPr>
      <w:r w:rsidRPr="00604C3B">
        <w:t>PPEMDD is organised into ten hierarchical layers, illustrated conceptually in the architecture diagram. Each layer aligns to a distinct processing or learning goal. The mathematical formulation of each essential operation is supplied below.</w:t>
      </w:r>
    </w:p>
    <w:p w14:paraId="0DE8350D" w14:textId="290DBBD0" w:rsidR="00087DF9" w:rsidRDefault="00000000">
      <w:pPr>
        <w:spacing w:before="100" w:after="60"/>
        <w:jc w:val="both"/>
      </w:pPr>
      <w:r>
        <w:rPr>
          <w:b/>
          <w:bCs/>
          <w:i/>
          <w:iCs/>
        </w:rPr>
        <w:t>A. Data Layer (Input Modalities and Federated Boundary)</w:t>
      </w:r>
    </w:p>
    <w:p w14:paraId="49D57FBC" w14:textId="77777777" w:rsidR="00604C3B" w:rsidRDefault="00604C3B">
      <w:pPr>
        <w:spacing w:before="100" w:after="60"/>
        <w:jc w:val="both"/>
      </w:pPr>
      <w:r w:rsidRPr="00604C3B">
        <w:t xml:space="preserve">PPEMDD ingests five complementary methods: (i) textual data (social media entries, clinical interview transcripts); (ii) EEG signals (multi-channel resting-state and task-evoked </w:t>
      </w:r>
      <w:r w:rsidRPr="00604C3B">
        <w:t>recordings); (iii) wearable sensor data (step counts, sleep length, heart rate); (iv) audio/video (speech prosody, facial action units); and (v) clinical metadata (PHQ-9 scores, age, demographics). Each modality is collected and processed locally on organizational nodes, implementing the federated boundary: solely encrypted model gradients are shared with the worldwide aggregator, never raw patient records. The federated boundary is officially specified as: for each local node k with dataset Dk, solely the model parameter revision Δwk is communicated to the worldwide server.</w:t>
      </w:r>
    </w:p>
    <w:p w14:paraId="20D7CA16" w14:textId="34D0D058" w:rsidR="00087DF9" w:rsidRDefault="00000000">
      <w:pPr>
        <w:spacing w:before="100" w:after="60"/>
        <w:jc w:val="both"/>
      </w:pPr>
      <w:r>
        <w:rPr>
          <w:b/>
          <w:bCs/>
          <w:i/>
          <w:iCs/>
        </w:rPr>
        <w:t>B. Layer 1: Modality-Specific Preprocessing</w:t>
      </w:r>
    </w:p>
    <w:p w14:paraId="5972BF51" w14:textId="77777777" w:rsidR="00604C3B" w:rsidRDefault="00604C3B" w:rsidP="00604C3B">
      <w:pPr>
        <w:spacing w:before="100" w:after="100"/>
      </w:pPr>
      <w:r w:rsidRPr="00604C3B">
        <w:t>Text inputs undergo WordPiece tokenisation and BERT-style subword encoding. EEG recordings are cleaned utilizing a Butterworth band-pass filter to separate clinically relevant frequency bands (delta 1–4 Hz, theta 4–8 Hz, alpha 8–13 Hz, beta 13–30 Hz). The frequency response of the Nth-order Butterworth filter is:</w:t>
      </w:r>
    </w:p>
    <w:p w14:paraId="20497F68" w14:textId="0A39760E" w:rsidR="00087DF9" w:rsidRDefault="00000000">
      <w:pPr>
        <w:spacing w:before="100" w:after="100"/>
        <w:jc w:val="center"/>
      </w:pPr>
      <w:r>
        <w:rPr>
          <w:rFonts w:ascii="Cambria Math" w:eastAsia="Cambria Math" w:hAnsi="Cambria Math" w:cs="Cambria Math"/>
          <w:i/>
          <w:iCs/>
        </w:rPr>
        <w:t>H(f) = 1</w:t>
      </w:r>
      <w:r>
        <w:t xml:space="preserve"> / </w:t>
      </w:r>
      <w:r>
        <w:rPr>
          <w:rFonts w:ascii="Cambria Math" w:eastAsia="Cambria Math" w:hAnsi="Cambria Math" w:cs="Cambria Math"/>
          <w:i/>
          <w:iCs/>
        </w:rPr>
        <w:t>√(1 + (f / f</w:t>
      </w:r>
      <w:r>
        <w:rPr>
          <w:sz w:val="14"/>
          <w:szCs w:val="14"/>
          <w:vertAlign w:val="subscript"/>
        </w:rPr>
        <w:t>c</w:t>
      </w:r>
      <w:r>
        <w:rPr>
          <w:rFonts w:ascii="Cambria Math" w:eastAsia="Cambria Math" w:hAnsi="Cambria Math" w:cs="Cambria Math"/>
          <w:i/>
          <w:iCs/>
        </w:rPr>
        <w:t>)</w:t>
      </w:r>
      <w:r>
        <w:rPr>
          <w:sz w:val="14"/>
          <w:szCs w:val="14"/>
          <w:vertAlign w:val="superscript"/>
        </w:rPr>
        <w:t>2N</w:t>
      </w:r>
      <w:r>
        <w:rPr>
          <w:rFonts w:ascii="Cambria Math" w:eastAsia="Cambria Math" w:hAnsi="Cambria Math" w:cs="Cambria Math"/>
          <w:i/>
          <w:iCs/>
        </w:rPr>
        <w:t>)</w:t>
      </w:r>
    </w:p>
    <w:p w14:paraId="3EA96AE9" w14:textId="77777777" w:rsidR="00087DF9" w:rsidRDefault="00000000">
      <w:pPr>
        <w:spacing w:after="60"/>
        <w:ind w:firstLine="360"/>
        <w:jc w:val="both"/>
      </w:pPr>
      <w:r>
        <w:t>Audio features are extracted using Mel-Frequency Cepstral Coefficients (MFCC). The n-th cepstral coefficient is:</w:t>
      </w:r>
    </w:p>
    <w:p w14:paraId="047733FB" w14:textId="77777777" w:rsidR="00087DF9" w:rsidRDefault="00000000">
      <w:pPr>
        <w:spacing w:before="100" w:after="100"/>
        <w:jc w:val="center"/>
      </w:pPr>
      <w:r>
        <w:rPr>
          <w:rFonts w:ascii="Cambria Math" w:eastAsia="Cambria Math" w:hAnsi="Cambria Math" w:cs="Cambria Math"/>
          <w:i/>
          <w:iCs/>
        </w:rPr>
        <w:t>c</w:t>
      </w:r>
      <w:r>
        <w:rPr>
          <w:sz w:val="14"/>
          <w:szCs w:val="14"/>
          <w:vertAlign w:val="subscript"/>
        </w:rPr>
        <w:t>n</w:t>
      </w:r>
      <w:r>
        <w:rPr>
          <w:rFonts w:ascii="Cambria Math" w:eastAsia="Cambria Math" w:hAnsi="Cambria Math" w:cs="Cambria Math"/>
          <w:i/>
          <w:iCs/>
        </w:rPr>
        <w:t xml:space="preserve"> = Σ</w:t>
      </w:r>
      <w:r>
        <w:rPr>
          <w:sz w:val="14"/>
          <w:szCs w:val="14"/>
          <w:vertAlign w:val="subscript"/>
        </w:rPr>
        <w:t>m=1</w:t>
      </w:r>
      <w:r>
        <w:rPr>
          <w:sz w:val="14"/>
          <w:szCs w:val="14"/>
          <w:vertAlign w:val="superscript"/>
        </w:rPr>
        <w:t>M</w:t>
      </w:r>
      <w:r>
        <w:rPr>
          <w:rFonts w:ascii="Cambria Math" w:eastAsia="Cambria Math" w:hAnsi="Cambria Math" w:cs="Cambria Math"/>
          <w:i/>
          <w:iCs/>
        </w:rPr>
        <w:t xml:space="preserve"> log(S</w:t>
      </w:r>
      <w:r>
        <w:rPr>
          <w:sz w:val="14"/>
          <w:szCs w:val="14"/>
          <w:vertAlign w:val="subscript"/>
        </w:rPr>
        <w:t>m</w:t>
      </w:r>
      <w:r>
        <w:rPr>
          <w:rFonts w:ascii="Cambria Math" w:eastAsia="Cambria Math" w:hAnsi="Cambria Math" w:cs="Cambria Math"/>
          <w:i/>
          <w:iCs/>
        </w:rPr>
        <w:t>) cos[n(m − 0.5)π/M]   (1)</w:t>
      </w:r>
    </w:p>
    <w:p w14:paraId="0F39440F" w14:textId="77777777" w:rsidR="00604C3B" w:rsidRDefault="00604C3B">
      <w:pPr>
        <w:spacing w:before="100" w:after="60"/>
        <w:jc w:val="both"/>
      </w:pPr>
      <w:r w:rsidRPr="00604C3B">
        <w:t>where Sm is the mel-filterbank energy in the m-th filter, and M is the number of filters. Wearable data undergo z-score normalisation and linear interpolation for missing measurements. Clinical features are standardised to zero mean and unit variance.</w:t>
      </w:r>
    </w:p>
    <w:p w14:paraId="0318453E" w14:textId="70628946" w:rsidR="00087DF9" w:rsidRDefault="00000000">
      <w:pPr>
        <w:spacing w:before="100" w:after="60"/>
        <w:jc w:val="both"/>
      </w:pPr>
      <w:r>
        <w:rPr>
          <w:b/>
          <w:bCs/>
          <w:i/>
          <w:iCs/>
        </w:rPr>
        <w:t>C. Layer 2: Feature Extraction</w:t>
      </w:r>
    </w:p>
    <w:p w14:paraId="494943FA" w14:textId="77777777" w:rsidR="00604C3B" w:rsidRDefault="00604C3B">
      <w:pPr>
        <w:spacing w:before="100" w:after="60"/>
        <w:jc w:val="both"/>
      </w:pPr>
      <w:r w:rsidRPr="00604C3B">
        <w:t>Six feature sets are extracted in parallel: (1) Semantic features: sentiment polarity, topic distributions via LDA, DSM-5 symptom keyword activations; (2) Spectral features: alpha power spectral density (PSD) in frontal/parietal regions computed as Pα =∫813 S(f) df; (3) Behavioural features: sleep length, activity step counts, circadian regularity indices; (4) Paralinguistic features: vocal energy, pitch variance, speech rate, rPPG-derived HRV; (5) Clinical features: PHQ-9 item scores, age, gender; (6) Contextual behavioural features: posting frequency, session length, temporal posting patterns.</w:t>
      </w:r>
    </w:p>
    <w:p w14:paraId="0B66B18A" w14:textId="48358C04" w:rsidR="00087DF9" w:rsidRDefault="00000000">
      <w:pPr>
        <w:spacing w:before="100" w:after="60"/>
        <w:jc w:val="both"/>
      </w:pPr>
      <w:r>
        <w:rPr>
          <w:b/>
          <w:bCs/>
          <w:i/>
          <w:iCs/>
        </w:rPr>
        <w:t>D. Layer 3: Adaptive Multimodal Fusion</w:t>
      </w:r>
    </w:p>
    <w:p w14:paraId="56762B74" w14:textId="77777777" w:rsidR="00604C3B" w:rsidRDefault="00604C3B">
      <w:pPr>
        <w:spacing w:before="100" w:after="100"/>
        <w:jc w:val="center"/>
      </w:pPr>
      <w:r w:rsidRPr="00604C3B">
        <w:t>All modality-specific feature vectors zm (</w:t>
      </w:r>
      <w:r w:rsidRPr="00604C3B">
        <w:rPr>
          <w:rFonts w:ascii="Cambria Math" w:hAnsi="Cambria Math" w:cs="Cambria Math"/>
        </w:rPr>
        <w:t>∈</w:t>
      </w:r>
      <w:r w:rsidRPr="00604C3B">
        <w:t xml:space="preserve"> ℝd) are passed to the Adaptive Multimodal Fusion Layer. A Dynamic Gating Network (DGN) computes a dependability score for each modality established on signal quality and availability:</w:t>
      </w:r>
    </w:p>
    <w:p w14:paraId="3C2F5CE8" w14:textId="2101A07A" w:rsidR="00087DF9" w:rsidRDefault="00000000">
      <w:pPr>
        <w:spacing w:before="100" w:after="100"/>
        <w:jc w:val="center"/>
      </w:pPr>
      <w:r>
        <w:rPr>
          <w:rFonts w:ascii="Cambria Math" w:eastAsia="Cambria Math" w:hAnsi="Cambria Math" w:cs="Cambria Math"/>
          <w:i/>
          <w:iCs/>
        </w:rPr>
        <w:t>g</w:t>
      </w:r>
      <w:r>
        <w:rPr>
          <w:sz w:val="14"/>
          <w:szCs w:val="14"/>
          <w:vertAlign w:val="subscript"/>
        </w:rPr>
        <w:t>m</w:t>
      </w:r>
      <w:r>
        <w:rPr>
          <w:rFonts w:ascii="Cambria Math" w:eastAsia="Cambria Math" w:hAnsi="Cambria Math" w:cs="Cambria Math"/>
          <w:i/>
          <w:iCs/>
        </w:rPr>
        <w:t xml:space="preserve"> = σ(W</w:t>
      </w:r>
      <w:r>
        <w:rPr>
          <w:sz w:val="14"/>
          <w:szCs w:val="14"/>
          <w:vertAlign w:val="subscript"/>
        </w:rPr>
        <w:t>g</w:t>
      </w:r>
      <w:r>
        <w:rPr>
          <w:rFonts w:ascii="Cambria Math" w:eastAsia="Cambria Math" w:hAnsi="Cambria Math" w:cs="Cambria Math"/>
          <w:i/>
          <w:iCs/>
        </w:rPr>
        <w:t xml:space="preserve"> · [z</w:t>
      </w:r>
      <w:r>
        <w:rPr>
          <w:sz w:val="14"/>
          <w:szCs w:val="14"/>
          <w:vertAlign w:val="subscript"/>
        </w:rPr>
        <w:t>m</w:t>
      </w:r>
      <w:r>
        <w:rPr>
          <w:rFonts w:ascii="Cambria Math" w:eastAsia="Cambria Math" w:hAnsi="Cambria Math" w:cs="Cambria Math"/>
          <w:i/>
          <w:iCs/>
        </w:rPr>
        <w:t>; c] + b</w:t>
      </w:r>
      <w:r>
        <w:rPr>
          <w:sz w:val="14"/>
          <w:szCs w:val="14"/>
          <w:vertAlign w:val="subscript"/>
        </w:rPr>
        <w:t>g</w:t>
      </w:r>
      <w:r>
        <w:rPr>
          <w:rFonts w:ascii="Cambria Math" w:eastAsia="Cambria Math" w:hAnsi="Cambria Math" w:cs="Cambria Math"/>
          <w:i/>
          <w:iCs/>
        </w:rPr>
        <w:t>)   (2)</w:t>
      </w:r>
    </w:p>
    <w:p w14:paraId="000C0CD2" w14:textId="77777777" w:rsidR="00087DF9" w:rsidRDefault="00000000">
      <w:pPr>
        <w:spacing w:after="60"/>
        <w:ind w:firstLine="360"/>
        <w:jc w:val="both"/>
      </w:pPr>
      <w:r>
        <w:t xml:space="preserve">where </w:t>
      </w:r>
      <w:r>
        <w:rPr>
          <w:rFonts w:ascii="Cambria Math" w:eastAsia="Cambria Math" w:hAnsi="Cambria Math" w:cs="Cambria Math"/>
          <w:i/>
          <w:iCs/>
        </w:rPr>
        <w:t>σ</w:t>
      </w:r>
      <w:r>
        <w:t xml:space="preserve"> denotes the sigmoid function and </w:t>
      </w:r>
      <w:r>
        <w:rPr>
          <w:rFonts w:ascii="Cambria Math" w:eastAsia="Cambria Math" w:hAnsi="Cambria Math" w:cs="Cambria Math"/>
          <w:i/>
          <w:iCs/>
        </w:rPr>
        <w:t>c</w:t>
      </w:r>
      <w:r>
        <w:t xml:space="preserve"> is a context vector encoding global session state. The gated fusion output is:</w:t>
      </w:r>
    </w:p>
    <w:p w14:paraId="69549447" w14:textId="77777777" w:rsidR="00087DF9" w:rsidRDefault="00000000">
      <w:pPr>
        <w:spacing w:before="100" w:after="100"/>
        <w:jc w:val="center"/>
      </w:pPr>
      <w:r>
        <w:rPr>
          <w:rFonts w:ascii="Cambria Math" w:eastAsia="Cambria Math" w:hAnsi="Cambria Math" w:cs="Cambria Math"/>
          <w:i/>
          <w:iCs/>
        </w:rPr>
        <w:t>z</w:t>
      </w:r>
      <w:r>
        <w:rPr>
          <w:sz w:val="14"/>
          <w:szCs w:val="14"/>
          <w:vertAlign w:val="subscript"/>
        </w:rPr>
        <w:t>fused</w:t>
      </w:r>
      <w:r>
        <w:rPr>
          <w:rFonts w:ascii="Cambria Math" w:eastAsia="Cambria Math" w:hAnsi="Cambria Math" w:cs="Cambria Math"/>
          <w:i/>
          <w:iCs/>
        </w:rPr>
        <w:t xml:space="preserve"> = Σ</w:t>
      </w:r>
      <w:r>
        <w:rPr>
          <w:sz w:val="14"/>
          <w:szCs w:val="14"/>
          <w:vertAlign w:val="subscript"/>
        </w:rPr>
        <w:t>m</w:t>
      </w:r>
      <w:r>
        <w:rPr>
          <w:rFonts w:ascii="Cambria Math" w:eastAsia="Cambria Math" w:hAnsi="Cambria Math" w:cs="Cambria Math"/>
          <w:i/>
          <w:iCs/>
        </w:rPr>
        <w:t>(g</w:t>
      </w:r>
      <w:r>
        <w:rPr>
          <w:sz w:val="14"/>
          <w:szCs w:val="14"/>
          <w:vertAlign w:val="subscript"/>
        </w:rPr>
        <w:t>m</w:t>
      </w:r>
      <w:r>
        <w:rPr>
          <w:rFonts w:ascii="Cambria Math" w:eastAsia="Cambria Math" w:hAnsi="Cambria Math" w:cs="Cambria Math"/>
          <w:i/>
          <w:iCs/>
        </w:rPr>
        <w:t xml:space="preserve"> · z</w:t>
      </w:r>
      <w:r>
        <w:rPr>
          <w:sz w:val="14"/>
          <w:szCs w:val="14"/>
          <w:vertAlign w:val="subscript"/>
        </w:rPr>
        <w:t>m</w:t>
      </w:r>
      <w:r>
        <w:rPr>
          <w:rFonts w:ascii="Cambria Math" w:eastAsia="Cambria Math" w:hAnsi="Cambria Math" w:cs="Cambria Math"/>
          <w:i/>
          <w:iCs/>
        </w:rPr>
        <w:t>) / Σ</w:t>
      </w:r>
      <w:r>
        <w:rPr>
          <w:sz w:val="14"/>
          <w:szCs w:val="14"/>
          <w:vertAlign w:val="subscript"/>
        </w:rPr>
        <w:t>m</w:t>
      </w:r>
      <w:r>
        <w:rPr>
          <w:rFonts w:ascii="Cambria Math" w:eastAsia="Cambria Math" w:hAnsi="Cambria Math" w:cs="Cambria Math"/>
          <w:i/>
          <w:iCs/>
        </w:rPr>
        <w:t>g</w:t>
      </w:r>
      <w:r>
        <w:rPr>
          <w:sz w:val="14"/>
          <w:szCs w:val="14"/>
          <w:vertAlign w:val="subscript"/>
        </w:rPr>
        <w:t>m</w:t>
      </w:r>
      <w:r>
        <w:rPr>
          <w:rFonts w:ascii="Cambria Math" w:eastAsia="Cambria Math" w:hAnsi="Cambria Math" w:cs="Cambria Math"/>
          <w:i/>
          <w:iCs/>
        </w:rPr>
        <w:t xml:space="preserve">   (3)</w:t>
      </w:r>
    </w:p>
    <w:p w14:paraId="6CC94647" w14:textId="77777777" w:rsidR="00087DF9" w:rsidRDefault="00000000">
      <w:pPr>
        <w:spacing w:after="60"/>
        <w:ind w:firstLine="360"/>
        <w:jc w:val="both"/>
      </w:pPr>
      <w:r>
        <w:t xml:space="preserve">A </w:t>
      </w:r>
      <w:r>
        <w:rPr>
          <w:i/>
          <w:iCs/>
        </w:rPr>
        <w:t>Multi-Head Cross-Attention</w:t>
      </w:r>
      <w:r>
        <w:t xml:space="preserve"> (MHCA) module then models inter-modal dependencies. For H attention heads:</w:t>
      </w:r>
    </w:p>
    <w:p w14:paraId="0099FB25" w14:textId="77777777" w:rsidR="00087DF9" w:rsidRDefault="00000000">
      <w:pPr>
        <w:spacing w:before="100" w:after="100"/>
        <w:jc w:val="center"/>
      </w:pPr>
      <w:r>
        <w:rPr>
          <w:rFonts w:ascii="Cambria Math" w:eastAsia="Cambria Math" w:hAnsi="Cambria Math" w:cs="Cambria Math"/>
          <w:i/>
          <w:iCs/>
        </w:rPr>
        <w:t>MultiHead(Q, K, V) = Concat(h</w:t>
      </w:r>
      <w:r>
        <w:rPr>
          <w:sz w:val="14"/>
          <w:szCs w:val="14"/>
          <w:vertAlign w:val="subscript"/>
        </w:rPr>
        <w:t>1</w:t>
      </w:r>
      <w:r>
        <w:rPr>
          <w:rFonts w:ascii="Cambria Math" w:eastAsia="Cambria Math" w:hAnsi="Cambria Math" w:cs="Cambria Math"/>
          <w:i/>
          <w:iCs/>
        </w:rPr>
        <w:t>, …, h</w:t>
      </w:r>
      <w:r>
        <w:rPr>
          <w:sz w:val="14"/>
          <w:szCs w:val="14"/>
          <w:vertAlign w:val="subscript"/>
        </w:rPr>
        <w:t>H</w:t>
      </w:r>
      <w:r>
        <w:rPr>
          <w:rFonts w:ascii="Cambria Math" w:eastAsia="Cambria Math" w:hAnsi="Cambria Math" w:cs="Cambria Math"/>
          <w:i/>
          <w:iCs/>
        </w:rPr>
        <w:t>) · W</w:t>
      </w:r>
      <w:r>
        <w:rPr>
          <w:sz w:val="14"/>
          <w:szCs w:val="14"/>
          <w:vertAlign w:val="superscript"/>
        </w:rPr>
        <w:t>O</w:t>
      </w:r>
      <w:r>
        <w:rPr>
          <w:rFonts w:ascii="Cambria Math" w:eastAsia="Cambria Math" w:hAnsi="Cambria Math" w:cs="Cambria Math"/>
          <w:i/>
          <w:iCs/>
        </w:rPr>
        <w:t xml:space="preserve">   (4)</w:t>
      </w:r>
    </w:p>
    <w:p w14:paraId="2E447CE7" w14:textId="77777777" w:rsidR="00087DF9" w:rsidRDefault="00000000">
      <w:pPr>
        <w:spacing w:before="100" w:after="100"/>
        <w:jc w:val="center"/>
      </w:pPr>
      <w:r>
        <w:rPr>
          <w:rFonts w:ascii="Cambria Math" w:eastAsia="Cambria Math" w:hAnsi="Cambria Math" w:cs="Cambria Math"/>
          <w:i/>
          <w:iCs/>
        </w:rPr>
        <w:t>h</w:t>
      </w:r>
      <w:r>
        <w:rPr>
          <w:sz w:val="14"/>
          <w:szCs w:val="14"/>
          <w:vertAlign w:val="subscript"/>
        </w:rPr>
        <w:t>i</w:t>
      </w:r>
      <w:r>
        <w:rPr>
          <w:rFonts w:ascii="Cambria Math" w:eastAsia="Cambria Math" w:hAnsi="Cambria Math" w:cs="Cambria Math"/>
          <w:i/>
          <w:iCs/>
        </w:rPr>
        <w:t xml:space="preserve"> = Attention(QW</w:t>
      </w:r>
      <w:r>
        <w:rPr>
          <w:sz w:val="14"/>
          <w:szCs w:val="14"/>
          <w:vertAlign w:val="subscript"/>
        </w:rPr>
        <w:t>i</w:t>
      </w:r>
      <w:r>
        <w:rPr>
          <w:sz w:val="14"/>
          <w:szCs w:val="14"/>
          <w:vertAlign w:val="superscript"/>
        </w:rPr>
        <w:t>Q</w:t>
      </w:r>
      <w:r>
        <w:rPr>
          <w:rFonts w:ascii="Cambria Math" w:eastAsia="Cambria Math" w:hAnsi="Cambria Math" w:cs="Cambria Math"/>
          <w:i/>
          <w:iCs/>
        </w:rPr>
        <w:t>, KW</w:t>
      </w:r>
      <w:r>
        <w:rPr>
          <w:sz w:val="14"/>
          <w:szCs w:val="14"/>
          <w:vertAlign w:val="subscript"/>
        </w:rPr>
        <w:t>i</w:t>
      </w:r>
      <w:r>
        <w:rPr>
          <w:sz w:val="14"/>
          <w:szCs w:val="14"/>
          <w:vertAlign w:val="superscript"/>
        </w:rPr>
        <w:t>K</w:t>
      </w:r>
      <w:r>
        <w:rPr>
          <w:rFonts w:ascii="Cambria Math" w:eastAsia="Cambria Math" w:hAnsi="Cambria Math" w:cs="Cambria Math"/>
          <w:i/>
          <w:iCs/>
        </w:rPr>
        <w:t>, VW</w:t>
      </w:r>
      <w:r>
        <w:rPr>
          <w:sz w:val="14"/>
          <w:szCs w:val="14"/>
          <w:vertAlign w:val="subscript"/>
        </w:rPr>
        <w:t>i</w:t>
      </w:r>
      <w:r>
        <w:rPr>
          <w:sz w:val="14"/>
          <w:szCs w:val="14"/>
          <w:vertAlign w:val="superscript"/>
        </w:rPr>
        <w:t>V</w:t>
      </w:r>
      <w:r>
        <w:rPr>
          <w:rFonts w:ascii="Cambria Math" w:eastAsia="Cambria Math" w:hAnsi="Cambria Math" w:cs="Cambria Math"/>
          <w:i/>
          <w:iCs/>
        </w:rPr>
        <w:t>)   (5)</w:t>
      </w:r>
    </w:p>
    <w:p w14:paraId="1478882F" w14:textId="77777777" w:rsidR="00087DF9" w:rsidRDefault="00000000">
      <w:pPr>
        <w:spacing w:before="100" w:after="100"/>
        <w:jc w:val="center"/>
      </w:pPr>
      <w:r>
        <w:rPr>
          <w:rFonts w:ascii="Cambria Math" w:eastAsia="Cambria Math" w:hAnsi="Cambria Math" w:cs="Cambria Math"/>
          <w:i/>
          <w:iCs/>
        </w:rPr>
        <w:lastRenderedPageBreak/>
        <w:t>Attention(Q, K, V) = softmax(QK</w:t>
      </w:r>
      <w:r>
        <w:rPr>
          <w:sz w:val="14"/>
          <w:szCs w:val="14"/>
          <w:vertAlign w:val="superscript"/>
        </w:rPr>
        <w:t>T</w:t>
      </w:r>
      <w:r>
        <w:rPr>
          <w:rFonts w:ascii="Cambria Math" w:eastAsia="Cambria Math" w:hAnsi="Cambria Math" w:cs="Cambria Math"/>
          <w:i/>
          <w:iCs/>
        </w:rPr>
        <w:t xml:space="preserve"> / √d</w:t>
      </w:r>
      <w:r>
        <w:rPr>
          <w:sz w:val="14"/>
          <w:szCs w:val="14"/>
          <w:vertAlign w:val="subscript"/>
        </w:rPr>
        <w:t>k</w:t>
      </w:r>
      <w:r>
        <w:rPr>
          <w:rFonts w:ascii="Cambria Math" w:eastAsia="Cambria Math" w:hAnsi="Cambria Math" w:cs="Cambria Math"/>
          <w:i/>
          <w:iCs/>
        </w:rPr>
        <w:t>) · V   (6)</w:t>
      </w:r>
    </w:p>
    <w:p w14:paraId="6F0D1F04" w14:textId="77777777" w:rsidR="00087DF9" w:rsidRDefault="00000000">
      <w:pPr>
        <w:spacing w:after="60"/>
        <w:ind w:firstLine="360"/>
        <w:jc w:val="both"/>
      </w:pPr>
      <w:r>
        <w:t xml:space="preserve">where </w:t>
      </w:r>
      <w:r>
        <w:rPr>
          <w:rFonts w:ascii="Cambria Math" w:eastAsia="Cambria Math" w:hAnsi="Cambria Math" w:cs="Cambria Math"/>
          <w:i/>
          <w:iCs/>
        </w:rPr>
        <w:t>d</w:t>
      </w:r>
      <w:r>
        <w:rPr>
          <w:sz w:val="14"/>
          <w:szCs w:val="14"/>
          <w:vertAlign w:val="subscript"/>
        </w:rPr>
        <w:t>k</w:t>
      </w:r>
      <w:r>
        <w:t xml:space="preserve"> is the key dimensionality. Cross-modal queries are formed between paired modalities (text↔EEG, speech↔text, wearables↔EEG).</w:t>
      </w:r>
    </w:p>
    <w:p w14:paraId="656BDDE4" w14:textId="77777777" w:rsidR="00087DF9" w:rsidRDefault="00000000">
      <w:pPr>
        <w:spacing w:before="100" w:after="60"/>
        <w:jc w:val="both"/>
      </w:pPr>
      <w:r>
        <w:rPr>
          <w:b/>
          <w:bCs/>
          <w:i/>
          <w:iCs/>
        </w:rPr>
        <w:t>E. Layer 4: Dual Encoder Architecture</w:t>
      </w:r>
    </w:p>
    <w:p w14:paraId="5ADFBD3E" w14:textId="77777777" w:rsidR="00604C3B" w:rsidRDefault="00604C3B" w:rsidP="00604C3B">
      <w:pPr>
        <w:spacing w:before="100" w:after="100"/>
      </w:pPr>
      <w:r w:rsidRPr="00604C3B">
        <w:t xml:space="preserve">Text representations are generated by a fine-tuned BERT/RoBERTa Transformer Encoder. For a token sequence X ={x1,…, xL}, the encoder applies stacked self-attention blocks with feed-forward networks. The last contextualised representation is the [CLS] token embedding hCLS </w:t>
      </w:r>
      <w:r w:rsidRPr="00604C3B">
        <w:rPr>
          <w:rFonts w:ascii="Cambria Math" w:hAnsi="Cambria Math" w:cs="Cambria Math"/>
        </w:rPr>
        <w:t>∈</w:t>
      </w:r>
      <w:r w:rsidRPr="00604C3B">
        <w:t xml:space="preserve"> ℝ768. EEG and wearable temporal sequences are processed by a CNN-BiLSTM Encoder. 1D convolutions extract local temporal patterns:</w:t>
      </w:r>
    </w:p>
    <w:p w14:paraId="01B22B2D" w14:textId="63F220C3" w:rsidR="00087DF9" w:rsidRDefault="00000000">
      <w:pPr>
        <w:spacing w:before="100" w:after="100"/>
        <w:jc w:val="center"/>
      </w:pPr>
      <w:r>
        <w:rPr>
          <w:rFonts w:ascii="Cambria Math" w:eastAsia="Cambria Math" w:hAnsi="Cambria Math" w:cs="Cambria Math"/>
          <w:i/>
          <w:iCs/>
        </w:rPr>
        <w:t>h</w:t>
      </w:r>
      <w:r>
        <w:rPr>
          <w:sz w:val="14"/>
          <w:szCs w:val="14"/>
          <w:vertAlign w:val="subscript"/>
        </w:rPr>
        <w:t>l</w:t>
      </w:r>
      <w:r>
        <w:rPr>
          <w:rFonts w:ascii="Cambria Math" w:eastAsia="Cambria Math" w:hAnsi="Cambria Math" w:cs="Cambria Math"/>
          <w:i/>
          <w:iCs/>
        </w:rPr>
        <w:t xml:space="preserve"> = ReLU(W</w:t>
      </w:r>
      <w:r>
        <w:rPr>
          <w:sz w:val="14"/>
          <w:szCs w:val="14"/>
          <w:vertAlign w:val="subscript"/>
        </w:rPr>
        <w:t>l</w:t>
      </w:r>
      <w:r>
        <w:rPr>
          <w:rFonts w:ascii="Cambria Math" w:eastAsia="Cambria Math" w:hAnsi="Cambria Math" w:cs="Cambria Math"/>
          <w:i/>
          <w:iCs/>
        </w:rPr>
        <w:t xml:space="preserve"> * x + b</w:t>
      </w:r>
      <w:r>
        <w:rPr>
          <w:sz w:val="14"/>
          <w:szCs w:val="14"/>
          <w:vertAlign w:val="subscript"/>
        </w:rPr>
        <w:t>l</w:t>
      </w:r>
      <w:r>
        <w:rPr>
          <w:rFonts w:ascii="Cambria Math" w:eastAsia="Cambria Math" w:hAnsi="Cambria Math" w:cs="Cambria Math"/>
          <w:i/>
          <w:iCs/>
        </w:rPr>
        <w:t>)   (7)</w:t>
      </w:r>
    </w:p>
    <w:p w14:paraId="2B2F158C" w14:textId="77777777" w:rsidR="00087DF9" w:rsidRDefault="00000000">
      <w:pPr>
        <w:spacing w:after="60"/>
        <w:ind w:firstLine="360"/>
        <w:jc w:val="both"/>
      </w:pPr>
      <w:r>
        <w:t xml:space="preserve">where </w:t>
      </w:r>
      <w:r>
        <w:rPr>
          <w:rFonts w:ascii="Cambria Math" w:eastAsia="Cambria Math" w:hAnsi="Cambria Math" w:cs="Cambria Math"/>
          <w:i/>
          <w:iCs/>
        </w:rPr>
        <w:t>*</w:t>
      </w:r>
      <w:r>
        <w:t xml:space="preserve"> denotes 1D convolution. The CNN output feeds a Bidirectional LSTM:</w:t>
      </w:r>
    </w:p>
    <w:p w14:paraId="485A582E" w14:textId="77777777" w:rsidR="00087DF9" w:rsidRDefault="00000000">
      <w:pPr>
        <w:spacing w:before="100" w:after="100"/>
        <w:jc w:val="center"/>
      </w:pPr>
      <w:r>
        <w:rPr>
          <w:rFonts w:ascii="Cambria Math" w:eastAsia="Cambria Math" w:hAnsi="Cambria Math" w:cs="Cambria Math"/>
          <w:i/>
          <w:iCs/>
        </w:rPr>
        <w:t>⃗h</w:t>
      </w:r>
      <w:r>
        <w:rPr>
          <w:sz w:val="14"/>
          <w:szCs w:val="14"/>
          <w:vertAlign w:val="subscript"/>
        </w:rPr>
        <w:t>t</w:t>
      </w:r>
      <w:r>
        <w:rPr>
          <w:rFonts w:ascii="Cambria Math" w:eastAsia="Cambria Math" w:hAnsi="Cambria Math" w:cs="Cambria Math"/>
          <w:i/>
          <w:iCs/>
        </w:rPr>
        <w:t xml:space="preserve"> = LSTM_fwd(x</w:t>
      </w:r>
      <w:r>
        <w:rPr>
          <w:sz w:val="14"/>
          <w:szCs w:val="14"/>
          <w:vertAlign w:val="subscript"/>
        </w:rPr>
        <w:t>t</w:t>
      </w:r>
      <w:r>
        <w:rPr>
          <w:rFonts w:ascii="Cambria Math" w:eastAsia="Cambria Math" w:hAnsi="Cambria Math" w:cs="Cambria Math"/>
          <w:i/>
          <w:iCs/>
        </w:rPr>
        <w:t>, h</w:t>
      </w:r>
      <w:r>
        <w:rPr>
          <w:sz w:val="14"/>
          <w:szCs w:val="14"/>
          <w:vertAlign w:val="subscript"/>
        </w:rPr>
        <w:t>t−1</w:t>
      </w:r>
      <w:r>
        <w:rPr>
          <w:rFonts w:ascii="Cambria Math" w:eastAsia="Cambria Math" w:hAnsi="Cambria Math" w:cs="Cambria Math"/>
          <w:i/>
          <w:iCs/>
        </w:rPr>
        <w:t>)   (8a)</w:t>
      </w:r>
    </w:p>
    <w:p w14:paraId="4CF5AFA8" w14:textId="77777777" w:rsidR="00087DF9" w:rsidRDefault="00000000">
      <w:pPr>
        <w:spacing w:before="100" w:after="100"/>
        <w:jc w:val="center"/>
      </w:pPr>
      <w:r>
        <w:rPr>
          <w:rFonts w:ascii="Cambria Math" w:eastAsia="Cambria Math" w:hAnsi="Cambria Math" w:cs="Cambria Math"/>
          <w:i/>
          <w:iCs/>
        </w:rPr>
        <w:t>⃖h</w:t>
      </w:r>
      <w:r>
        <w:rPr>
          <w:sz w:val="14"/>
          <w:szCs w:val="14"/>
          <w:vertAlign w:val="subscript"/>
        </w:rPr>
        <w:t>t</w:t>
      </w:r>
      <w:r>
        <w:rPr>
          <w:rFonts w:ascii="Cambria Math" w:eastAsia="Cambria Math" w:hAnsi="Cambria Math" w:cs="Cambria Math"/>
          <w:i/>
          <w:iCs/>
        </w:rPr>
        <w:t xml:space="preserve"> = LSTM_bwd(x</w:t>
      </w:r>
      <w:r>
        <w:rPr>
          <w:sz w:val="14"/>
          <w:szCs w:val="14"/>
          <w:vertAlign w:val="subscript"/>
        </w:rPr>
        <w:t>t</w:t>
      </w:r>
      <w:r>
        <w:rPr>
          <w:rFonts w:ascii="Cambria Math" w:eastAsia="Cambria Math" w:hAnsi="Cambria Math" w:cs="Cambria Math"/>
          <w:i/>
          <w:iCs/>
        </w:rPr>
        <w:t>, h</w:t>
      </w:r>
      <w:r>
        <w:rPr>
          <w:sz w:val="14"/>
          <w:szCs w:val="14"/>
          <w:vertAlign w:val="subscript"/>
        </w:rPr>
        <w:t>t+1</w:t>
      </w:r>
      <w:r>
        <w:rPr>
          <w:rFonts w:ascii="Cambria Math" w:eastAsia="Cambria Math" w:hAnsi="Cambria Math" w:cs="Cambria Math"/>
          <w:i/>
          <w:iCs/>
        </w:rPr>
        <w:t>)   (8b)</w:t>
      </w:r>
    </w:p>
    <w:p w14:paraId="08609CCC" w14:textId="77777777" w:rsidR="00087DF9" w:rsidRDefault="00000000">
      <w:pPr>
        <w:spacing w:before="100" w:after="100"/>
        <w:jc w:val="center"/>
      </w:pPr>
      <w:r>
        <w:rPr>
          <w:rFonts w:ascii="Cambria Math" w:eastAsia="Cambria Math" w:hAnsi="Cambria Math" w:cs="Cambria Math"/>
          <w:i/>
          <w:iCs/>
        </w:rPr>
        <w:t>h</w:t>
      </w:r>
      <w:r>
        <w:rPr>
          <w:sz w:val="14"/>
          <w:szCs w:val="14"/>
          <w:vertAlign w:val="subscript"/>
        </w:rPr>
        <w:t>t</w:t>
      </w:r>
      <w:r>
        <w:rPr>
          <w:rFonts w:ascii="Cambria Math" w:eastAsia="Cambria Math" w:hAnsi="Cambria Math" w:cs="Cambria Math"/>
          <w:i/>
          <w:iCs/>
        </w:rPr>
        <w:t xml:space="preserve"> = [⃗h</w:t>
      </w:r>
      <w:r>
        <w:rPr>
          <w:sz w:val="14"/>
          <w:szCs w:val="14"/>
          <w:vertAlign w:val="subscript"/>
        </w:rPr>
        <w:t>t</w:t>
      </w:r>
      <w:r>
        <w:rPr>
          <w:rFonts w:ascii="Cambria Math" w:eastAsia="Cambria Math" w:hAnsi="Cambria Math" w:cs="Cambria Math"/>
          <w:i/>
          <w:iCs/>
        </w:rPr>
        <w:t>; ⃖h</w:t>
      </w:r>
      <w:r>
        <w:rPr>
          <w:sz w:val="14"/>
          <w:szCs w:val="14"/>
          <w:vertAlign w:val="subscript"/>
        </w:rPr>
        <w:t>t</w:t>
      </w:r>
      <w:r>
        <w:rPr>
          <w:rFonts w:ascii="Cambria Math" w:eastAsia="Cambria Math" w:hAnsi="Cambria Math" w:cs="Cambria Math"/>
          <w:i/>
          <w:iCs/>
        </w:rPr>
        <w:t>]   (8c)</w:t>
      </w:r>
    </w:p>
    <w:p w14:paraId="7D6BECA3" w14:textId="77777777" w:rsidR="00087DF9" w:rsidRDefault="00000000">
      <w:pPr>
        <w:spacing w:after="60"/>
        <w:ind w:firstLine="360"/>
        <w:jc w:val="both"/>
      </w:pPr>
      <w:r>
        <w:t xml:space="preserve">The final BiLSTM hidden state </w:t>
      </w:r>
      <w:r>
        <w:rPr>
          <w:rFonts w:ascii="Cambria Math" w:eastAsia="Cambria Math" w:hAnsi="Cambria Math" w:cs="Cambria Math"/>
          <w:i/>
          <w:iCs/>
        </w:rPr>
        <w:t>h</w:t>
      </w:r>
      <w:r>
        <w:rPr>
          <w:sz w:val="14"/>
          <w:szCs w:val="14"/>
          <w:vertAlign w:val="subscript"/>
        </w:rPr>
        <w:t>T</w:t>
      </w:r>
      <w:r>
        <w:t xml:space="preserve"> is projected to the shared latent dimension </w:t>
      </w:r>
      <w:r>
        <w:rPr>
          <w:rFonts w:ascii="Cambria Math" w:eastAsia="Cambria Math" w:hAnsi="Cambria Math" w:cs="Cambria Math"/>
          <w:i/>
          <w:iCs/>
        </w:rPr>
        <w:t>d</w:t>
      </w:r>
      <w:r>
        <w:t xml:space="preserve"> via a linear layer.</w:t>
      </w:r>
    </w:p>
    <w:p w14:paraId="306221B3" w14:textId="77777777" w:rsidR="00087DF9" w:rsidRDefault="00000000">
      <w:pPr>
        <w:spacing w:before="100" w:after="60"/>
        <w:jc w:val="both"/>
      </w:pPr>
      <w:r>
        <w:rPr>
          <w:b/>
          <w:bCs/>
          <w:i/>
          <w:iCs/>
        </w:rPr>
        <w:t>F. Layer 5: Fairness-Aware Adversarial Regulariser</w:t>
      </w:r>
    </w:p>
    <w:p w14:paraId="1A31357C" w14:textId="77777777" w:rsidR="00604C3B" w:rsidRDefault="00604C3B" w:rsidP="00604C3B">
      <w:pPr>
        <w:spacing w:before="100" w:after="100"/>
      </w:pPr>
      <w:r w:rsidRPr="00604C3B">
        <w:t xml:space="preserve">An adversarial discriminator is trained to predict demographic attributes (gender, age category, language) from the fused representation zfused. The primary and principal encoder is optimised to concurrently minimise the prediction loss and maximise the discriminator‘s confusion, implementing demographic invariance. The fairness regularisation loss is specified as the Equal Opportunity Difference (EOD) across demographic groups g </w:t>
      </w:r>
      <w:r w:rsidRPr="00604C3B">
        <w:rPr>
          <w:rFonts w:ascii="Cambria Math" w:hAnsi="Cambria Math" w:cs="Cambria Math"/>
        </w:rPr>
        <w:t>∈</w:t>
      </w:r>
      <w:r w:rsidRPr="00604C3B">
        <w:t xml:space="preserve"> G:</w:t>
      </w:r>
    </w:p>
    <w:p w14:paraId="6AFB7625" w14:textId="22FB351C" w:rsidR="00087DF9" w:rsidRDefault="00000000">
      <w:pPr>
        <w:spacing w:before="100" w:after="100"/>
        <w:jc w:val="center"/>
      </w:pPr>
      <w:r>
        <w:rPr>
          <w:rFonts w:ascii="Cambria Math" w:eastAsia="Cambria Math" w:hAnsi="Cambria Math" w:cs="Cambria Math"/>
          <w:i/>
          <w:iCs/>
        </w:rPr>
        <w:t>L</w:t>
      </w:r>
      <w:r>
        <w:rPr>
          <w:sz w:val="14"/>
          <w:szCs w:val="14"/>
          <w:vertAlign w:val="subscript"/>
        </w:rPr>
        <w:t>fair</w:t>
      </w:r>
      <w:r>
        <w:rPr>
          <w:rFonts w:ascii="Cambria Math" w:eastAsia="Cambria Math" w:hAnsi="Cambria Math" w:cs="Cambria Math"/>
          <w:i/>
          <w:iCs/>
        </w:rPr>
        <w:t xml:space="preserve"> = Σ</w:t>
      </w:r>
      <w:r>
        <w:rPr>
          <w:sz w:val="14"/>
          <w:szCs w:val="14"/>
          <w:vertAlign w:val="subscript"/>
        </w:rPr>
        <w:t>g</w:t>
      </w:r>
      <w:r>
        <w:rPr>
          <w:rFonts w:ascii="Cambria Math" w:eastAsia="Cambria Math" w:hAnsi="Cambria Math" w:cs="Cambria Math"/>
          <w:i/>
          <w:iCs/>
        </w:rPr>
        <w:t>|P(ŷ=1|y=1, G=g) − P(ŷ=1|y=1)|</w:t>
      </w:r>
      <w:r>
        <w:rPr>
          <w:sz w:val="14"/>
          <w:szCs w:val="14"/>
          <w:vertAlign w:val="superscript"/>
        </w:rPr>
        <w:t>2</w:t>
      </w:r>
      <w:r>
        <w:rPr>
          <w:rFonts w:ascii="Cambria Math" w:eastAsia="Cambria Math" w:hAnsi="Cambria Math" w:cs="Cambria Math"/>
          <w:i/>
          <w:iCs/>
        </w:rPr>
        <w:t xml:space="preserve">   (9)</w:t>
      </w:r>
    </w:p>
    <w:p w14:paraId="4BF05DCE" w14:textId="77777777" w:rsidR="00087DF9" w:rsidRDefault="00000000">
      <w:pPr>
        <w:spacing w:after="60"/>
        <w:ind w:firstLine="360"/>
        <w:jc w:val="both"/>
      </w:pPr>
      <w:r>
        <w:t xml:space="preserve">where </w:t>
      </w:r>
      <w:r>
        <w:rPr>
          <w:rFonts w:ascii="Cambria Math" w:eastAsia="Cambria Math" w:hAnsi="Cambria Math" w:cs="Cambria Math"/>
          <w:i/>
          <w:iCs/>
        </w:rPr>
        <w:t>ŷ</w:t>
      </w:r>
      <w:r>
        <w:t xml:space="preserve"> is the predicted label and </w:t>
      </w:r>
      <w:r>
        <w:rPr>
          <w:rFonts w:ascii="Cambria Math" w:eastAsia="Cambria Math" w:hAnsi="Cambria Math" w:cs="Cambria Math"/>
          <w:i/>
          <w:iCs/>
        </w:rPr>
        <w:t>y</w:t>
      </w:r>
      <w:r>
        <w:t xml:space="preserve"> is the true label. Demographic Parity is additionally audited as: </w:t>
      </w:r>
      <w:r>
        <w:rPr>
          <w:rFonts w:ascii="Cambria Math" w:eastAsia="Cambria Math" w:hAnsi="Cambria Math" w:cs="Cambria Math"/>
          <w:i/>
          <w:iCs/>
        </w:rPr>
        <w:t>ΔDP = |P(ŷ=1|G=g) − P(ŷ=1)|</w:t>
      </w:r>
      <w:r>
        <w:t xml:space="preserve"> for each group </w:t>
      </w:r>
      <w:r>
        <w:rPr>
          <w:rFonts w:ascii="Cambria Math" w:eastAsia="Cambria Math" w:hAnsi="Cambria Math" w:cs="Cambria Math"/>
          <w:i/>
          <w:iCs/>
        </w:rPr>
        <w:t>g</w:t>
      </w:r>
      <w:r>
        <w:t>.</w:t>
      </w:r>
    </w:p>
    <w:p w14:paraId="5F4B851F" w14:textId="77777777" w:rsidR="00087DF9" w:rsidRDefault="00000000">
      <w:pPr>
        <w:spacing w:before="100" w:after="60"/>
        <w:jc w:val="both"/>
      </w:pPr>
      <w:r>
        <w:rPr>
          <w:b/>
          <w:bCs/>
          <w:i/>
          <w:iCs/>
        </w:rPr>
        <w:t>G. Layer 6: Multi-Task Prediction Head</w:t>
      </w:r>
    </w:p>
    <w:p w14:paraId="6F3ED591" w14:textId="77777777" w:rsidR="00087DF9" w:rsidRDefault="00000000">
      <w:pPr>
        <w:spacing w:after="60"/>
        <w:ind w:firstLine="360"/>
        <w:jc w:val="both"/>
      </w:pPr>
      <w:r>
        <w:t xml:space="preserve">Three concurrent prediction tasks share the fused encoder representation. (i) </w:t>
      </w:r>
      <w:r>
        <w:rPr>
          <w:i/>
          <w:iCs/>
        </w:rPr>
        <w:t>Binary Classification</w:t>
      </w:r>
      <w:r>
        <w:t xml:space="preserve">: a sigmoid output layer produces depression probability </w:t>
      </w:r>
      <w:r>
        <w:rPr>
          <w:rFonts w:ascii="Cambria Math" w:eastAsia="Cambria Math" w:hAnsi="Cambria Math" w:cs="Cambria Math"/>
          <w:i/>
          <w:iCs/>
        </w:rPr>
        <w:t>p = σ(W</w:t>
      </w:r>
      <w:r>
        <w:rPr>
          <w:sz w:val="14"/>
          <w:szCs w:val="14"/>
          <w:vertAlign w:val="subscript"/>
        </w:rPr>
        <w:t>cls</w:t>
      </w:r>
      <w:r>
        <w:rPr>
          <w:rFonts w:ascii="Cambria Math" w:eastAsia="Cambria Math" w:hAnsi="Cambria Math" w:cs="Cambria Math"/>
          <w:i/>
          <w:iCs/>
        </w:rPr>
        <w:t>· z</w:t>
      </w:r>
      <w:r>
        <w:rPr>
          <w:sz w:val="14"/>
          <w:szCs w:val="14"/>
          <w:vertAlign w:val="subscript"/>
        </w:rPr>
        <w:t>fused</w:t>
      </w:r>
      <w:r>
        <w:rPr>
          <w:rFonts w:ascii="Cambria Math" w:eastAsia="Cambria Math" w:hAnsi="Cambria Math" w:cs="Cambria Math"/>
          <w:i/>
          <w:iCs/>
        </w:rPr>
        <w:t xml:space="preserve"> + b</w:t>
      </w:r>
      <w:r>
        <w:rPr>
          <w:sz w:val="14"/>
          <w:szCs w:val="14"/>
          <w:vertAlign w:val="subscript"/>
        </w:rPr>
        <w:t>cls</w:t>
      </w:r>
      <w:r>
        <w:rPr>
          <w:rFonts w:ascii="Cambria Math" w:eastAsia="Cambria Math" w:hAnsi="Cambria Math" w:cs="Cambria Math"/>
          <w:i/>
          <w:iCs/>
        </w:rPr>
        <w:t>)</w:t>
      </w:r>
      <w:r>
        <w:t xml:space="preserve"> with Binary Cross-Entropy loss:</w:t>
      </w:r>
    </w:p>
    <w:p w14:paraId="58941DAD" w14:textId="77777777" w:rsidR="00087DF9" w:rsidRDefault="00000000">
      <w:pPr>
        <w:spacing w:before="100" w:after="100"/>
        <w:jc w:val="center"/>
      </w:pPr>
      <w:r>
        <w:rPr>
          <w:rFonts w:ascii="Cambria Math" w:eastAsia="Cambria Math" w:hAnsi="Cambria Math" w:cs="Cambria Math"/>
          <w:i/>
          <w:iCs/>
        </w:rPr>
        <w:t>L</w:t>
      </w:r>
      <w:r>
        <w:rPr>
          <w:sz w:val="14"/>
          <w:szCs w:val="14"/>
          <w:vertAlign w:val="subscript"/>
        </w:rPr>
        <w:t>cls</w:t>
      </w:r>
      <w:r>
        <w:rPr>
          <w:rFonts w:ascii="Cambria Math" w:eastAsia="Cambria Math" w:hAnsi="Cambria Math" w:cs="Cambria Math"/>
          <w:i/>
          <w:iCs/>
        </w:rPr>
        <w:t xml:space="preserve"> = −[y log p + (1−y) log(1−p)]   (10)</w:t>
      </w:r>
    </w:p>
    <w:p w14:paraId="45435562" w14:textId="77777777" w:rsidR="00087DF9" w:rsidRDefault="00000000">
      <w:pPr>
        <w:spacing w:after="60"/>
        <w:ind w:firstLine="360"/>
        <w:jc w:val="both"/>
      </w:pPr>
      <w:r>
        <w:t xml:space="preserve">(ii) </w:t>
      </w:r>
      <w:r>
        <w:rPr>
          <w:i/>
          <w:iCs/>
        </w:rPr>
        <w:t>PHQ-9 Severity Regression</w:t>
      </w:r>
      <w:r>
        <w:t xml:space="preserve">: a linear output estimates the PHQ-9 score </w:t>
      </w:r>
      <w:r>
        <w:rPr>
          <w:rFonts w:ascii="Cambria Math" w:eastAsia="Cambria Math" w:hAnsi="Cambria Math" w:cs="Cambria Math"/>
          <w:i/>
          <w:iCs/>
        </w:rPr>
        <w:t>ŷ = W</w:t>
      </w:r>
      <w:r>
        <w:rPr>
          <w:sz w:val="14"/>
          <w:szCs w:val="14"/>
          <w:vertAlign w:val="subscript"/>
        </w:rPr>
        <w:t>reg</w:t>
      </w:r>
      <w:r>
        <w:rPr>
          <w:rFonts w:ascii="Cambria Math" w:eastAsia="Cambria Math" w:hAnsi="Cambria Math" w:cs="Cambria Math"/>
          <w:i/>
          <w:iCs/>
        </w:rPr>
        <w:t>· z</w:t>
      </w:r>
      <w:r>
        <w:rPr>
          <w:sz w:val="14"/>
          <w:szCs w:val="14"/>
          <w:vertAlign w:val="subscript"/>
        </w:rPr>
        <w:t>fused</w:t>
      </w:r>
      <w:r>
        <w:rPr>
          <w:rFonts w:ascii="Cambria Math" w:eastAsia="Cambria Math" w:hAnsi="Cambria Math" w:cs="Cambria Math"/>
          <w:i/>
          <w:iCs/>
        </w:rPr>
        <w:t xml:space="preserve"> + b</w:t>
      </w:r>
      <w:r>
        <w:rPr>
          <w:sz w:val="14"/>
          <w:szCs w:val="14"/>
          <w:vertAlign w:val="subscript"/>
        </w:rPr>
        <w:t>reg</w:t>
      </w:r>
      <w:r>
        <w:t xml:space="preserve"> with Mean Squared Error:</w:t>
      </w:r>
    </w:p>
    <w:p w14:paraId="432F5AC8" w14:textId="77777777" w:rsidR="00087DF9" w:rsidRDefault="00000000">
      <w:pPr>
        <w:spacing w:before="100" w:after="100"/>
        <w:jc w:val="center"/>
      </w:pPr>
      <w:r>
        <w:rPr>
          <w:rFonts w:ascii="Cambria Math" w:eastAsia="Cambria Math" w:hAnsi="Cambria Math" w:cs="Cambria Math"/>
          <w:i/>
          <w:iCs/>
        </w:rPr>
        <w:t>L</w:t>
      </w:r>
      <w:r>
        <w:rPr>
          <w:sz w:val="14"/>
          <w:szCs w:val="14"/>
          <w:vertAlign w:val="subscript"/>
        </w:rPr>
        <w:t>reg</w:t>
      </w:r>
      <w:r>
        <w:rPr>
          <w:rFonts w:ascii="Cambria Math" w:eastAsia="Cambria Math" w:hAnsi="Cambria Math" w:cs="Cambria Math"/>
          <w:i/>
          <w:iCs/>
        </w:rPr>
        <w:t xml:space="preserve"> = (1/N) Σ</w:t>
      </w:r>
      <w:r>
        <w:rPr>
          <w:sz w:val="14"/>
          <w:szCs w:val="14"/>
          <w:vertAlign w:val="subscript"/>
        </w:rPr>
        <w:t>i=1</w:t>
      </w:r>
      <w:r>
        <w:rPr>
          <w:sz w:val="14"/>
          <w:szCs w:val="14"/>
          <w:vertAlign w:val="superscript"/>
        </w:rPr>
        <w:t>N</w:t>
      </w:r>
      <w:r>
        <w:rPr>
          <w:rFonts w:ascii="Cambria Math" w:eastAsia="Cambria Math" w:hAnsi="Cambria Math" w:cs="Cambria Math"/>
          <w:i/>
          <w:iCs/>
        </w:rPr>
        <w:t>(y</w:t>
      </w:r>
      <w:r>
        <w:rPr>
          <w:sz w:val="14"/>
          <w:szCs w:val="14"/>
          <w:vertAlign w:val="subscript"/>
        </w:rPr>
        <w:t>i</w:t>
      </w:r>
      <w:r>
        <w:rPr>
          <w:rFonts w:ascii="Cambria Math" w:eastAsia="Cambria Math" w:hAnsi="Cambria Math" w:cs="Cambria Math"/>
          <w:i/>
          <w:iCs/>
        </w:rPr>
        <w:t xml:space="preserve"> − ŷ</w:t>
      </w:r>
      <w:r>
        <w:rPr>
          <w:sz w:val="14"/>
          <w:szCs w:val="14"/>
          <w:vertAlign w:val="subscript"/>
        </w:rPr>
        <w:t>i</w:t>
      </w:r>
      <w:r>
        <w:rPr>
          <w:rFonts w:ascii="Cambria Math" w:eastAsia="Cambria Math" w:hAnsi="Cambria Math" w:cs="Cambria Math"/>
          <w:i/>
          <w:iCs/>
        </w:rPr>
        <w:t>)</w:t>
      </w:r>
      <w:r>
        <w:rPr>
          <w:sz w:val="14"/>
          <w:szCs w:val="14"/>
          <w:vertAlign w:val="superscript"/>
        </w:rPr>
        <w:t>2</w:t>
      </w:r>
      <w:r>
        <w:rPr>
          <w:rFonts w:ascii="Cambria Math" w:eastAsia="Cambria Math" w:hAnsi="Cambria Math" w:cs="Cambria Math"/>
          <w:i/>
          <w:iCs/>
        </w:rPr>
        <w:t xml:space="preserve">   (11)</w:t>
      </w:r>
    </w:p>
    <w:p w14:paraId="0ABA7DC1" w14:textId="77777777" w:rsidR="00087DF9" w:rsidRDefault="00000000">
      <w:pPr>
        <w:spacing w:after="60"/>
        <w:ind w:firstLine="360"/>
        <w:jc w:val="both"/>
      </w:pPr>
      <w:r>
        <w:t xml:space="preserve">(iii) </w:t>
      </w:r>
      <w:r>
        <w:rPr>
          <w:i/>
          <w:iCs/>
        </w:rPr>
        <w:t>DSM-5 Symptom Recognition</w:t>
      </w:r>
      <w:r>
        <w:t>: a sigmoid multi-label head outputs per-symptom probabilities across nine DSM-5 criteria. The aggregate multi-task loss is:</w:t>
      </w:r>
    </w:p>
    <w:p w14:paraId="2F771973" w14:textId="77777777" w:rsidR="00087DF9" w:rsidRDefault="00000000">
      <w:pPr>
        <w:spacing w:before="100" w:after="100"/>
        <w:jc w:val="center"/>
      </w:pPr>
      <w:r>
        <w:rPr>
          <w:rFonts w:ascii="Cambria Math" w:eastAsia="Cambria Math" w:hAnsi="Cambria Math" w:cs="Cambria Math"/>
          <w:i/>
          <w:iCs/>
        </w:rPr>
        <w:t>L</w:t>
      </w:r>
      <w:r>
        <w:rPr>
          <w:sz w:val="14"/>
          <w:szCs w:val="14"/>
          <w:vertAlign w:val="subscript"/>
        </w:rPr>
        <w:t>total</w:t>
      </w:r>
      <w:r>
        <w:rPr>
          <w:rFonts w:ascii="Cambria Math" w:eastAsia="Cambria Math" w:hAnsi="Cambria Math" w:cs="Cambria Math"/>
          <w:i/>
          <w:iCs/>
        </w:rPr>
        <w:t xml:space="preserve"> = λ</w:t>
      </w:r>
      <w:r>
        <w:rPr>
          <w:sz w:val="14"/>
          <w:szCs w:val="14"/>
          <w:vertAlign w:val="subscript"/>
        </w:rPr>
        <w:t>1</w:t>
      </w:r>
      <w:r>
        <w:rPr>
          <w:rFonts w:ascii="Cambria Math" w:eastAsia="Cambria Math" w:hAnsi="Cambria Math" w:cs="Cambria Math"/>
          <w:i/>
          <w:iCs/>
        </w:rPr>
        <w:t>L</w:t>
      </w:r>
      <w:r>
        <w:rPr>
          <w:sz w:val="14"/>
          <w:szCs w:val="14"/>
          <w:vertAlign w:val="subscript"/>
        </w:rPr>
        <w:t>cls</w:t>
      </w:r>
      <w:r>
        <w:rPr>
          <w:rFonts w:ascii="Cambria Math" w:eastAsia="Cambria Math" w:hAnsi="Cambria Math" w:cs="Cambria Math"/>
          <w:i/>
          <w:iCs/>
        </w:rPr>
        <w:t xml:space="preserve"> + λ</w:t>
      </w:r>
      <w:r>
        <w:rPr>
          <w:sz w:val="14"/>
          <w:szCs w:val="14"/>
          <w:vertAlign w:val="subscript"/>
        </w:rPr>
        <w:t>2</w:t>
      </w:r>
      <w:r>
        <w:rPr>
          <w:rFonts w:ascii="Cambria Math" w:eastAsia="Cambria Math" w:hAnsi="Cambria Math" w:cs="Cambria Math"/>
          <w:i/>
          <w:iCs/>
        </w:rPr>
        <w:t>L</w:t>
      </w:r>
      <w:r>
        <w:rPr>
          <w:sz w:val="14"/>
          <w:szCs w:val="14"/>
          <w:vertAlign w:val="subscript"/>
        </w:rPr>
        <w:t>reg</w:t>
      </w:r>
      <w:r>
        <w:rPr>
          <w:rFonts w:ascii="Cambria Math" w:eastAsia="Cambria Math" w:hAnsi="Cambria Math" w:cs="Cambria Math"/>
          <w:i/>
          <w:iCs/>
        </w:rPr>
        <w:t xml:space="preserve"> + λ</w:t>
      </w:r>
      <w:r>
        <w:rPr>
          <w:sz w:val="14"/>
          <w:szCs w:val="14"/>
          <w:vertAlign w:val="subscript"/>
        </w:rPr>
        <w:t>3</w:t>
      </w:r>
      <w:r>
        <w:rPr>
          <w:rFonts w:ascii="Cambria Math" w:eastAsia="Cambria Math" w:hAnsi="Cambria Math" w:cs="Cambria Math"/>
          <w:i/>
          <w:iCs/>
        </w:rPr>
        <w:t>L</w:t>
      </w:r>
      <w:r>
        <w:rPr>
          <w:sz w:val="14"/>
          <w:szCs w:val="14"/>
          <w:vertAlign w:val="subscript"/>
        </w:rPr>
        <w:t>sym</w:t>
      </w:r>
      <w:r>
        <w:rPr>
          <w:rFonts w:ascii="Cambria Math" w:eastAsia="Cambria Math" w:hAnsi="Cambria Math" w:cs="Cambria Math"/>
          <w:i/>
          <w:iCs/>
        </w:rPr>
        <w:t xml:space="preserve"> + λ</w:t>
      </w:r>
      <w:r>
        <w:rPr>
          <w:sz w:val="14"/>
          <w:szCs w:val="14"/>
          <w:vertAlign w:val="subscript"/>
        </w:rPr>
        <w:t>fair</w:t>
      </w:r>
      <w:r>
        <w:rPr>
          <w:rFonts w:ascii="Cambria Math" w:eastAsia="Cambria Math" w:hAnsi="Cambria Math" w:cs="Cambria Math"/>
          <w:i/>
          <w:iCs/>
        </w:rPr>
        <w:t>L</w:t>
      </w:r>
      <w:r>
        <w:rPr>
          <w:sz w:val="14"/>
          <w:szCs w:val="14"/>
          <w:vertAlign w:val="subscript"/>
        </w:rPr>
        <w:t>fair</w:t>
      </w:r>
      <w:r>
        <w:rPr>
          <w:rFonts w:ascii="Cambria Math" w:eastAsia="Cambria Math" w:hAnsi="Cambria Math" w:cs="Cambria Math"/>
          <w:i/>
          <w:iCs/>
        </w:rPr>
        <w:t xml:space="preserve">   (12)</w:t>
      </w:r>
    </w:p>
    <w:p w14:paraId="07181D6F" w14:textId="77777777" w:rsidR="00087DF9" w:rsidRDefault="00000000">
      <w:pPr>
        <w:spacing w:after="60"/>
        <w:ind w:firstLine="360"/>
        <w:jc w:val="both"/>
      </w:pPr>
      <w:r>
        <w:t xml:space="preserve">where </w:t>
      </w:r>
      <w:r>
        <w:rPr>
          <w:rFonts w:ascii="Cambria Math" w:eastAsia="Cambria Math" w:hAnsi="Cambria Math" w:cs="Cambria Math"/>
          <w:i/>
          <w:iCs/>
        </w:rPr>
        <w:t>λ</w:t>
      </w:r>
      <w:r>
        <w:rPr>
          <w:sz w:val="14"/>
          <w:szCs w:val="14"/>
          <w:vertAlign w:val="subscript"/>
        </w:rPr>
        <w:t>1</w:t>
      </w:r>
      <w:r>
        <w:t xml:space="preserve">, </w:t>
      </w:r>
      <w:r>
        <w:rPr>
          <w:rFonts w:ascii="Cambria Math" w:eastAsia="Cambria Math" w:hAnsi="Cambria Math" w:cs="Cambria Math"/>
          <w:i/>
          <w:iCs/>
        </w:rPr>
        <w:t>λ</w:t>
      </w:r>
      <w:r>
        <w:rPr>
          <w:sz w:val="14"/>
          <w:szCs w:val="14"/>
          <w:vertAlign w:val="subscript"/>
        </w:rPr>
        <w:t>2</w:t>
      </w:r>
      <w:r>
        <w:t xml:space="preserve">, </w:t>
      </w:r>
      <w:r>
        <w:rPr>
          <w:rFonts w:ascii="Cambria Math" w:eastAsia="Cambria Math" w:hAnsi="Cambria Math" w:cs="Cambria Math"/>
          <w:i/>
          <w:iCs/>
        </w:rPr>
        <w:t>λ</w:t>
      </w:r>
      <w:r>
        <w:rPr>
          <w:sz w:val="14"/>
          <w:szCs w:val="14"/>
          <w:vertAlign w:val="subscript"/>
        </w:rPr>
        <w:t>3</w:t>
      </w:r>
      <w:r>
        <w:t xml:space="preserve">, </w:t>
      </w:r>
      <w:r>
        <w:rPr>
          <w:rFonts w:ascii="Cambria Math" w:eastAsia="Cambria Math" w:hAnsi="Cambria Math" w:cs="Cambria Math"/>
          <w:i/>
          <w:iCs/>
        </w:rPr>
        <w:t>λ</w:t>
      </w:r>
      <w:r>
        <w:rPr>
          <w:sz w:val="14"/>
          <w:szCs w:val="14"/>
          <w:vertAlign w:val="subscript"/>
        </w:rPr>
        <w:t>fair</w:t>
      </w:r>
      <w:r>
        <w:t xml:space="preserve"> are task-weighting hyperparameters tuned via grid search.</w:t>
      </w:r>
    </w:p>
    <w:p w14:paraId="432DD7D5" w14:textId="77777777" w:rsidR="00087DF9" w:rsidRDefault="00000000">
      <w:pPr>
        <w:spacing w:before="100" w:after="60"/>
        <w:jc w:val="both"/>
      </w:pPr>
      <w:r>
        <w:rPr>
          <w:b/>
          <w:bCs/>
          <w:i/>
          <w:iCs/>
        </w:rPr>
        <w:t>H. Layer 7: Explainable AI Module</w:t>
      </w:r>
    </w:p>
    <w:p w14:paraId="675B5E4A" w14:textId="77777777" w:rsidR="00604C3B" w:rsidRDefault="00604C3B" w:rsidP="00604C3B">
      <w:pPr>
        <w:spacing w:before="100" w:after="100"/>
      </w:pPr>
      <w:r w:rsidRPr="00604C3B">
        <w:t>Three complementary XAI systems are integrated. (i) SHAP Feature Attribution: the Shapley value φi for feature i is computed as:</w:t>
      </w:r>
    </w:p>
    <w:p w14:paraId="1EB45D00" w14:textId="1A69C947" w:rsidR="00087DF9" w:rsidRDefault="00000000">
      <w:pPr>
        <w:spacing w:before="100" w:after="100"/>
        <w:jc w:val="center"/>
      </w:pPr>
      <w:r>
        <w:rPr>
          <w:rFonts w:ascii="Cambria Math" w:eastAsia="Cambria Math" w:hAnsi="Cambria Math" w:cs="Cambria Math"/>
          <w:i/>
          <w:iCs/>
        </w:rPr>
        <w:t>φ</w:t>
      </w:r>
      <w:r>
        <w:rPr>
          <w:sz w:val="14"/>
          <w:szCs w:val="14"/>
          <w:vertAlign w:val="subscript"/>
        </w:rPr>
        <w:t>i</w:t>
      </w:r>
      <w:r>
        <w:rPr>
          <w:rFonts w:ascii="Cambria Math" w:eastAsia="Cambria Math" w:hAnsi="Cambria Math" w:cs="Cambria Math"/>
          <w:i/>
          <w:iCs/>
        </w:rPr>
        <w:t xml:space="preserve"> = Σ</w:t>
      </w:r>
      <w:r>
        <w:rPr>
          <w:sz w:val="14"/>
          <w:szCs w:val="14"/>
          <w:vertAlign w:val="subscript"/>
        </w:rPr>
        <w:t>S⊆F\{i}</w:t>
      </w:r>
      <w:r>
        <w:rPr>
          <w:rFonts w:ascii="Cambria Math" w:eastAsia="Cambria Math" w:hAnsi="Cambria Math" w:cs="Cambria Math"/>
          <w:i/>
          <w:iCs/>
        </w:rPr>
        <w:t xml:space="preserve"> (|S|!(|F|−|S|−1)! / |F|!) · [f(S∪{i}) − f(S)]   (13)</w:t>
      </w:r>
    </w:p>
    <w:p w14:paraId="4BAB0DF1" w14:textId="77777777" w:rsidR="00604C3B" w:rsidRDefault="00604C3B">
      <w:pPr>
        <w:spacing w:before="100" w:after="60"/>
        <w:jc w:val="both"/>
      </w:pPr>
      <w:r w:rsidRPr="00604C3B">
        <w:t>where F is the total and whole feature set and f(S) is the model outcome with feature subset S active. (ii) Attention Heatmaps: attention weights αt from the Transformer self-attention layers are visualised over EEG channels and content token spans to highlight clinically salient evidence. (iii) Counterfactual Explanations: minimal feature perturbations that alter the predicted label are generated, for instance, “If sleep span increases from 4.5h to 7.2h, risk drops from 78% to 41%.”</w:t>
      </w:r>
    </w:p>
    <w:p w14:paraId="7D1D71BE" w14:textId="5E4301DB" w:rsidR="00087DF9" w:rsidRDefault="00000000">
      <w:pPr>
        <w:spacing w:before="100" w:after="60"/>
        <w:jc w:val="both"/>
      </w:pPr>
      <w:r>
        <w:rPr>
          <w:b/>
          <w:bCs/>
          <w:i/>
          <w:iCs/>
        </w:rPr>
        <w:t>I. Layer 8: Clinical Output Interface</w:t>
      </w:r>
    </w:p>
    <w:p w14:paraId="2F682AC8" w14:textId="77777777" w:rsidR="00604C3B" w:rsidRDefault="00604C3B">
      <w:pPr>
        <w:spacing w:before="100" w:after="60"/>
        <w:jc w:val="both"/>
      </w:pPr>
      <w:r w:rsidRPr="00604C3B">
        <w:t>PPEMDD generates two outcome artefacts. The Clinical Dashboard displays: the depression risk score with 95% confidence interval; a DSM-5 symptom activation map; SHAP waterfall charts attributing score to individual features; and attention heatmaps over EEG channels and interview transcript spans. The Patient Report presents a plain-language risk summary and longitudinal behavioural trend charts visualising sleep, activity, and mood paths over the tracking period.</w:t>
      </w:r>
    </w:p>
    <w:p w14:paraId="664B8BF9" w14:textId="20EFED1D" w:rsidR="00087DF9" w:rsidRDefault="00000000">
      <w:pPr>
        <w:spacing w:before="100" w:after="60"/>
        <w:jc w:val="both"/>
      </w:pPr>
      <w:r>
        <w:rPr>
          <w:b/>
          <w:bCs/>
          <w:i/>
          <w:iCs/>
        </w:rPr>
        <w:t>J. Layer 9: Federated Learning with Differential Privacy</w:t>
      </w:r>
    </w:p>
    <w:p w14:paraId="4580A17A" w14:textId="77777777" w:rsidR="00604C3B" w:rsidRDefault="00604C3B" w:rsidP="00604C3B">
      <w:pPr>
        <w:spacing w:before="100" w:after="100"/>
      </w:pPr>
      <w:r w:rsidRPr="00604C3B">
        <w:t>Each organizational node k trains the local model on Dk for E local epochs, computes the gradient revision Δwk, and clips it to bound sensitivity. The worldwide aggregator applies FedAVG:</w:t>
      </w:r>
    </w:p>
    <w:p w14:paraId="3EAFA9EA" w14:textId="49EA886D" w:rsidR="00087DF9" w:rsidRDefault="00000000">
      <w:pPr>
        <w:spacing w:before="100" w:after="100"/>
        <w:jc w:val="center"/>
      </w:pPr>
      <w:r>
        <w:rPr>
          <w:rFonts w:ascii="Cambria Math" w:eastAsia="Cambria Math" w:hAnsi="Cambria Math" w:cs="Cambria Math"/>
          <w:i/>
          <w:iCs/>
        </w:rPr>
        <w:t>w</w:t>
      </w:r>
      <w:r>
        <w:rPr>
          <w:sz w:val="14"/>
          <w:szCs w:val="14"/>
          <w:vertAlign w:val="superscript"/>
        </w:rPr>
        <w:t>(t+1)</w:t>
      </w:r>
      <w:r>
        <w:rPr>
          <w:rFonts w:ascii="Cambria Math" w:eastAsia="Cambria Math" w:hAnsi="Cambria Math" w:cs="Cambria Math"/>
          <w:i/>
          <w:iCs/>
        </w:rPr>
        <w:t xml:space="preserve"> = Σ</w:t>
      </w:r>
      <w:r>
        <w:rPr>
          <w:sz w:val="14"/>
          <w:szCs w:val="14"/>
          <w:vertAlign w:val="subscript"/>
        </w:rPr>
        <w:t>k=1</w:t>
      </w:r>
      <w:r>
        <w:rPr>
          <w:sz w:val="14"/>
          <w:szCs w:val="14"/>
          <w:vertAlign w:val="superscript"/>
        </w:rPr>
        <w:t>K</w:t>
      </w:r>
      <w:r>
        <w:rPr>
          <w:rFonts w:ascii="Cambria Math" w:eastAsia="Cambria Math" w:hAnsi="Cambria Math" w:cs="Cambria Math"/>
          <w:i/>
          <w:iCs/>
        </w:rPr>
        <w:t>(n</w:t>
      </w:r>
      <w:r>
        <w:rPr>
          <w:sz w:val="14"/>
          <w:szCs w:val="14"/>
          <w:vertAlign w:val="subscript"/>
        </w:rPr>
        <w:t>k</w:t>
      </w:r>
      <w:r>
        <w:rPr>
          <w:rFonts w:ascii="Cambria Math" w:eastAsia="Cambria Math" w:hAnsi="Cambria Math" w:cs="Cambria Math"/>
          <w:i/>
          <w:iCs/>
        </w:rPr>
        <w:t>/n) · w</w:t>
      </w:r>
      <w:r>
        <w:rPr>
          <w:sz w:val="14"/>
          <w:szCs w:val="14"/>
          <w:vertAlign w:val="subscript"/>
        </w:rPr>
        <w:t>k</w:t>
      </w:r>
      <w:r>
        <w:rPr>
          <w:sz w:val="14"/>
          <w:szCs w:val="14"/>
          <w:vertAlign w:val="superscript"/>
        </w:rPr>
        <w:t>(t)</w:t>
      </w:r>
      <w:r>
        <w:rPr>
          <w:rFonts w:ascii="Cambria Math" w:eastAsia="Cambria Math" w:hAnsi="Cambria Math" w:cs="Cambria Math"/>
          <w:i/>
          <w:iCs/>
        </w:rPr>
        <w:t xml:space="preserve">   (14)</w:t>
      </w:r>
    </w:p>
    <w:p w14:paraId="741648A7" w14:textId="77777777" w:rsidR="00087DF9" w:rsidRDefault="00000000">
      <w:pPr>
        <w:spacing w:after="60"/>
        <w:ind w:firstLine="360"/>
        <w:jc w:val="both"/>
      </w:pPr>
      <w:r>
        <w:t xml:space="preserve">where </w:t>
      </w:r>
      <w:r>
        <w:rPr>
          <w:rFonts w:ascii="Cambria Math" w:eastAsia="Cambria Math" w:hAnsi="Cambria Math" w:cs="Cambria Math"/>
          <w:i/>
          <w:iCs/>
        </w:rPr>
        <w:t>n</w:t>
      </w:r>
      <w:r>
        <w:rPr>
          <w:sz w:val="14"/>
          <w:szCs w:val="14"/>
          <w:vertAlign w:val="subscript"/>
        </w:rPr>
        <w:t>k</w:t>
      </w:r>
      <w:r>
        <w:t xml:space="preserve"> is the local dataset size and </w:t>
      </w:r>
      <w:r>
        <w:rPr>
          <w:rFonts w:ascii="Cambria Math" w:eastAsia="Cambria Math" w:hAnsi="Cambria Math" w:cs="Cambria Math"/>
          <w:i/>
          <w:iCs/>
        </w:rPr>
        <w:t>n = Σ n</w:t>
      </w:r>
      <w:r>
        <w:rPr>
          <w:sz w:val="14"/>
          <w:szCs w:val="14"/>
          <w:vertAlign w:val="subscript"/>
        </w:rPr>
        <w:t>k</w:t>
      </w:r>
      <w:r>
        <w:t xml:space="preserve">. </w:t>
      </w:r>
      <w:r>
        <w:rPr>
          <w:i/>
          <w:iCs/>
        </w:rPr>
        <w:t>Differential Privacy</w:t>
      </w:r>
      <w:r>
        <w:t xml:space="preserve"> is enforced via the Gaussian mechanism. For function sensitivity </w:t>
      </w:r>
      <w:r>
        <w:rPr>
          <w:rFonts w:ascii="Cambria Math" w:eastAsia="Cambria Math" w:hAnsi="Cambria Math" w:cs="Cambria Math"/>
          <w:i/>
          <w:iCs/>
        </w:rPr>
        <w:t>Δf</w:t>
      </w:r>
      <w:r>
        <w:t>, the noise parameter satisfies:</w:t>
      </w:r>
    </w:p>
    <w:p w14:paraId="15EE15EC" w14:textId="77777777" w:rsidR="00087DF9" w:rsidRDefault="00000000">
      <w:pPr>
        <w:spacing w:before="100" w:after="100"/>
        <w:jc w:val="center"/>
      </w:pPr>
      <w:r>
        <w:rPr>
          <w:rFonts w:ascii="Cambria Math" w:eastAsia="Cambria Math" w:hAnsi="Cambria Math" w:cs="Cambria Math"/>
          <w:i/>
          <w:iCs/>
        </w:rPr>
        <w:t>σ ≥ (Δf / ε) · √(2 ln(1.25 / δ))   (15)</w:t>
      </w:r>
    </w:p>
    <w:p w14:paraId="78E1B7BD" w14:textId="77777777" w:rsidR="00604C3B" w:rsidRDefault="00604C3B">
      <w:pPr>
        <w:spacing w:before="100" w:after="60"/>
        <w:jc w:val="both"/>
      </w:pPr>
      <w:r w:rsidRPr="00604C3B">
        <w:t>offering (ε, δ)-DP guarantee. Secure compilation prevents the server from reading individual gradients. A retrain loop feeds updated worldwide weights back to local nodes for the following communication round.</w:t>
      </w:r>
    </w:p>
    <w:p w14:paraId="4840FF1D" w14:textId="21BD5E91" w:rsidR="00087DF9" w:rsidRDefault="00000000">
      <w:pPr>
        <w:spacing w:before="100" w:after="60"/>
        <w:jc w:val="both"/>
      </w:pPr>
      <w:r>
        <w:rPr>
          <w:b/>
          <w:bCs/>
          <w:i/>
          <w:iCs/>
        </w:rPr>
        <w:t>K. Layer 10: Validation and Evaluation Framework</w:t>
      </w:r>
    </w:p>
    <w:p w14:paraId="576E5BAD" w14:textId="77777777" w:rsidR="00604C3B" w:rsidRDefault="00604C3B" w:rsidP="00604C3B">
      <w:pPr>
        <w:spacing w:before="100" w:after="100"/>
      </w:pPr>
      <w:r w:rsidRPr="00604C3B">
        <w:t xml:space="preserve">Generalisation is evaluated via Leave-One-Dataset-Out (LODO) validation across six benchmark datasets: DAIC-WOZ (clinical interview, audio+text+video), MODMA (EEG+interview), WU3D (Weibo social media, Chinese), EATD-Corpus (text+audio), StudentSADD (student population audio+text), and a PHQ-9 actigraphy cohort. Multilingual extension to non-English datasets is organized as future work. </w:t>
      </w:r>
    </w:p>
    <w:p w14:paraId="7EA96775" w14:textId="43F2DF53" w:rsidR="00604C3B" w:rsidRDefault="00604C3B">
      <w:pPr>
        <w:spacing w:before="100" w:after="100"/>
        <w:jc w:val="center"/>
      </w:pPr>
      <w:r w:rsidRPr="00604C3B">
        <w:t>The evaluation metric suite comprises:</w:t>
      </w:r>
    </w:p>
    <w:p w14:paraId="7017C458" w14:textId="79F67312" w:rsidR="00087DF9" w:rsidRDefault="00000000">
      <w:pPr>
        <w:spacing w:before="100" w:after="100"/>
        <w:jc w:val="center"/>
      </w:pPr>
      <w:r>
        <w:rPr>
          <w:rFonts w:ascii="Cambria Math" w:eastAsia="Cambria Math" w:hAnsi="Cambria Math" w:cs="Cambria Math"/>
          <w:i/>
          <w:iCs/>
        </w:rPr>
        <w:t>F1 = 2 · P · R / (P + R),   P = TP/(TP+FP),   R = TP/(TP+FN)   (16)</w:t>
      </w:r>
    </w:p>
    <w:p w14:paraId="5AD46A04" w14:textId="77777777" w:rsidR="00087DF9" w:rsidRDefault="00000000">
      <w:pPr>
        <w:spacing w:before="100" w:after="100"/>
        <w:jc w:val="center"/>
      </w:pPr>
      <w:r>
        <w:rPr>
          <w:rFonts w:ascii="Cambria Math" w:eastAsia="Cambria Math" w:hAnsi="Cambria Math" w:cs="Cambria Math"/>
          <w:i/>
          <w:iCs/>
        </w:rPr>
        <w:lastRenderedPageBreak/>
        <w:t>AUC = ∫</w:t>
      </w:r>
      <w:r>
        <w:rPr>
          <w:sz w:val="14"/>
          <w:szCs w:val="14"/>
          <w:vertAlign w:val="subscript"/>
        </w:rPr>
        <w:t>0</w:t>
      </w:r>
      <w:r>
        <w:rPr>
          <w:sz w:val="14"/>
          <w:szCs w:val="14"/>
          <w:vertAlign w:val="superscript"/>
        </w:rPr>
        <w:t>1</w:t>
      </w:r>
      <w:r>
        <w:rPr>
          <w:rFonts w:ascii="Cambria Math" w:eastAsia="Cambria Math" w:hAnsi="Cambria Math" w:cs="Cambria Math"/>
          <w:i/>
          <w:iCs/>
        </w:rPr>
        <w:t xml:space="preserve"> TPR(FPR) d(FPR),   MCC = (TP·TN − FP·FN) / √(…)   (17)</w:t>
      </w:r>
    </w:p>
    <w:p w14:paraId="21F3F3A5" w14:textId="77777777" w:rsidR="00087DF9" w:rsidRDefault="00000000">
      <w:pPr>
        <w:spacing w:after="60"/>
        <w:ind w:firstLine="360"/>
        <w:jc w:val="both"/>
      </w:pPr>
      <w:r>
        <w:t xml:space="preserve">A </w:t>
      </w:r>
      <w:r>
        <w:rPr>
          <w:i/>
          <w:iCs/>
        </w:rPr>
        <w:t>Bias Audit</w:t>
      </w:r>
      <w:r>
        <w:t xml:space="preserve"> evaluates per-demographic F1, EOD, and Demographic Parity to certify fairness. Reported performance targets are F1 &gt; 0.91, AUC &gt; 0.95, and EOD &lt; 0.05 across all subgroups.</w:t>
      </w:r>
    </w:p>
    <w:p w14:paraId="26D6D2C4" w14:textId="77777777" w:rsidR="00087DF9" w:rsidRDefault="00000000">
      <w:pPr>
        <w:spacing w:before="100" w:after="60"/>
        <w:jc w:val="both"/>
      </w:pPr>
      <w:r>
        <w:rPr>
          <w:b/>
          <w:bCs/>
          <w:i/>
          <w:iCs/>
        </w:rPr>
        <w:t>L. Hybrid Label Construction</w:t>
      </w:r>
    </w:p>
    <w:p w14:paraId="1A606A2B" w14:textId="77777777" w:rsidR="00087DF9" w:rsidRDefault="00000000">
      <w:pPr>
        <w:spacing w:after="60"/>
        <w:ind w:firstLine="360"/>
        <w:jc w:val="both"/>
      </w:pPr>
      <w:r>
        <w:t>To address weak-label limitations identified in the literature, PPEMDD constructs a hybrid depression score combining multiple evidence sources:</w:t>
      </w:r>
    </w:p>
    <w:p w14:paraId="7FD5B99A" w14:textId="77777777" w:rsidR="00087DF9" w:rsidRDefault="00000000">
      <w:pPr>
        <w:spacing w:before="100" w:after="100"/>
        <w:jc w:val="center"/>
      </w:pPr>
      <w:r>
        <w:rPr>
          <w:rFonts w:ascii="Cambria Math" w:eastAsia="Cambria Math" w:hAnsi="Cambria Math" w:cs="Cambria Math"/>
          <w:i/>
          <w:iCs/>
        </w:rPr>
        <w:t>L</w:t>
      </w:r>
      <w:r>
        <w:rPr>
          <w:sz w:val="14"/>
          <w:szCs w:val="14"/>
          <w:vertAlign w:val="subscript"/>
        </w:rPr>
        <w:t>hybrid</w:t>
      </w:r>
      <w:r>
        <w:rPr>
          <w:rFonts w:ascii="Cambria Math" w:eastAsia="Cambria Math" w:hAnsi="Cambria Math" w:cs="Cambria Math"/>
          <w:i/>
          <w:iCs/>
        </w:rPr>
        <w:t xml:space="preserve"> = 0.4 · L</w:t>
      </w:r>
      <w:r>
        <w:rPr>
          <w:sz w:val="14"/>
          <w:szCs w:val="14"/>
          <w:vertAlign w:val="subscript"/>
        </w:rPr>
        <w:t>clinical</w:t>
      </w:r>
      <w:r>
        <w:rPr>
          <w:rFonts w:ascii="Cambria Math" w:eastAsia="Cambria Math" w:hAnsi="Cambria Math" w:cs="Cambria Math"/>
          <w:i/>
          <w:iCs/>
        </w:rPr>
        <w:t xml:space="preserve"> + 0.3 · L</w:t>
      </w:r>
      <w:r>
        <w:rPr>
          <w:sz w:val="14"/>
          <w:szCs w:val="14"/>
          <w:vertAlign w:val="subscript"/>
        </w:rPr>
        <w:t>questionnaire</w:t>
      </w:r>
      <w:r>
        <w:rPr>
          <w:rFonts w:ascii="Cambria Math" w:eastAsia="Cambria Math" w:hAnsi="Cambria Math" w:cs="Cambria Math"/>
          <w:i/>
          <w:iCs/>
        </w:rPr>
        <w:t xml:space="preserve"> + 0.3 · L</w:t>
      </w:r>
      <w:r>
        <w:rPr>
          <w:sz w:val="14"/>
          <w:szCs w:val="14"/>
          <w:vertAlign w:val="subscript"/>
        </w:rPr>
        <w:t>behavioral</w:t>
      </w:r>
      <w:r>
        <w:rPr>
          <w:rFonts w:ascii="Cambria Math" w:eastAsia="Cambria Math" w:hAnsi="Cambria Math" w:cs="Cambria Math"/>
          <w:i/>
          <w:iCs/>
        </w:rPr>
        <w:t xml:space="preserve">   (18)</w:t>
      </w:r>
    </w:p>
    <w:p w14:paraId="453E3BCF" w14:textId="77777777" w:rsidR="00087DF9" w:rsidRDefault="00000000">
      <w:pPr>
        <w:spacing w:after="60"/>
        <w:ind w:firstLine="360"/>
        <w:jc w:val="both"/>
      </w:pPr>
      <w:r>
        <w:t xml:space="preserve">where </w:t>
      </w:r>
      <w:r>
        <w:rPr>
          <w:rFonts w:ascii="Cambria Math" w:eastAsia="Cambria Math" w:hAnsi="Cambria Math" w:cs="Cambria Math"/>
          <w:i/>
          <w:iCs/>
        </w:rPr>
        <w:t>L</w:t>
      </w:r>
      <w:r>
        <w:rPr>
          <w:sz w:val="14"/>
          <w:szCs w:val="14"/>
          <w:vertAlign w:val="subscript"/>
        </w:rPr>
        <w:t>clinical</w:t>
      </w:r>
      <w:r>
        <w:t xml:space="preserve"> is a clinician-assigned binary label (when available), </w:t>
      </w:r>
      <w:r>
        <w:rPr>
          <w:rFonts w:ascii="Cambria Math" w:eastAsia="Cambria Math" w:hAnsi="Cambria Math" w:cs="Cambria Math"/>
          <w:i/>
          <w:iCs/>
        </w:rPr>
        <w:t>L</w:t>
      </w:r>
      <w:r>
        <w:rPr>
          <w:sz w:val="14"/>
          <w:szCs w:val="14"/>
          <w:vertAlign w:val="subscript"/>
        </w:rPr>
        <w:t>questionnaire</w:t>
      </w:r>
      <w:r>
        <w:t xml:space="preserve"> is derived from the PHQ-9 threshold (≥ 10 = positive), and </w:t>
      </w:r>
      <w:r>
        <w:rPr>
          <w:rFonts w:ascii="Cambria Math" w:eastAsia="Cambria Math" w:hAnsi="Cambria Math" w:cs="Cambria Math"/>
          <w:i/>
          <w:iCs/>
        </w:rPr>
        <w:t>L</w:t>
      </w:r>
      <w:r>
        <w:rPr>
          <w:sz w:val="14"/>
          <w:szCs w:val="14"/>
          <w:vertAlign w:val="subscript"/>
        </w:rPr>
        <w:t>behavioral</w:t>
      </w:r>
      <w:r>
        <w:t xml:space="preserve"> is derived from wearable behavioural irregularity indices. This formulation reduces label uncertainty and improves training supervision quality.</w:t>
      </w:r>
    </w:p>
    <w:p w14:paraId="62BFC0D3" w14:textId="77777777" w:rsidR="00604C3B" w:rsidRDefault="00000000" w:rsidP="00604C3B">
      <w:pPr>
        <w:spacing w:before="200" w:after="100"/>
        <w:jc w:val="center"/>
      </w:pPr>
      <w:r>
        <w:rPr>
          <w:b/>
          <w:bCs/>
        </w:rPr>
        <w:t>IV. CONCLUSION</w:t>
      </w:r>
    </w:p>
    <w:p w14:paraId="029B0D83" w14:textId="7C29982C" w:rsidR="00604C3B" w:rsidRDefault="00604C3B" w:rsidP="00604C3B">
      <w:pPr>
        <w:spacing w:before="200" w:after="100"/>
      </w:pPr>
      <w:r w:rsidRPr="00604C3B">
        <w:t>This paper presented PPEMDD, a Privacy-Preserving Explainable Multimodal Depression Detection framework tackling five fundamental limitations identified in the 2026 state-of-the-art: limited generalisation, weak labels, opacity, demographic bias, and privacy risk. The proposed ten-layer architecture combines five data methods through adaptive cross-modal fusion, multi-task prediction, adversarial fairness regularisation, SHAP/attention/counterfactual XAI, and federated learning with differential privacy. LODO validation across six benchmark datasets focuses on F1 &gt; 91% with EOD &lt; 0.05. Future work will extend PPEMDD to multilingual and low-resource settings, incorporate video facial action unit analysis, and conduct prospective clinical trials for regulatory evaluation.</w:t>
      </w:r>
    </w:p>
    <w:p w14:paraId="0F12FF25" w14:textId="15E80F2E" w:rsidR="00087DF9" w:rsidRDefault="00000000">
      <w:pPr>
        <w:spacing w:before="200" w:after="100"/>
        <w:jc w:val="center"/>
      </w:pPr>
      <w:r>
        <w:rPr>
          <w:b/>
          <w:bCs/>
        </w:rPr>
        <w:t>. REFERENCES</w:t>
      </w:r>
    </w:p>
    <w:p w14:paraId="66D2E13E" w14:textId="77777777" w:rsidR="00087DF9" w:rsidRDefault="00000000">
      <w:pPr>
        <w:spacing w:after="40"/>
        <w:ind w:left="360" w:hanging="360"/>
        <w:jc w:val="both"/>
      </w:pPr>
      <w:r>
        <w:t>[1]</w:t>
      </w:r>
      <w:r>
        <w:tab/>
        <w:t>World Health Organization, "Depression," WHO Fact Sheet, 2023. [Online]. Available: https://www.who.int/news-room/fact-sheets/detail/depression</w:t>
      </w:r>
    </w:p>
    <w:p w14:paraId="4317E735" w14:textId="77777777" w:rsidR="00087DF9" w:rsidRDefault="00000000">
      <w:pPr>
        <w:spacing w:after="40"/>
        <w:ind w:left="360" w:hanging="360"/>
        <w:jc w:val="both"/>
      </w:pPr>
      <w:r>
        <w:t>[2]</w:t>
      </w:r>
      <w:r>
        <w:tab/>
        <w:t>C. D. Mathers and D. Loncar, "Projections of global mortality and burden of disease from 2002 to 2030," PLOS Med., vol. 3, no. 11, p. e442, 2006.</w:t>
      </w:r>
    </w:p>
    <w:p w14:paraId="070DB460" w14:textId="77777777" w:rsidR="00087DF9" w:rsidRDefault="00000000">
      <w:pPr>
        <w:spacing w:after="40"/>
        <w:ind w:left="360" w:hanging="360"/>
        <w:jc w:val="both"/>
      </w:pPr>
      <w:r>
        <w:t>[3]</w:t>
      </w:r>
      <w:r>
        <w:tab/>
        <w:t>E. Jin and Y. Zhang, "Depression detection on social media using multi-task learning with BERT and hierarchical attention: A DSM-5-guided approach," Electronics, vol. 15, no. 3, p. 598, 2026.</w:t>
      </w:r>
    </w:p>
    <w:p w14:paraId="33CD6B5E" w14:textId="77777777" w:rsidR="00087DF9" w:rsidRDefault="00000000">
      <w:pPr>
        <w:spacing w:after="40"/>
        <w:ind w:left="360" w:hanging="360"/>
        <w:jc w:val="both"/>
      </w:pPr>
      <w:r>
        <w:t>[4]</w:t>
      </w:r>
      <w:r>
        <w:tab/>
        <w:t>S. Ko et al., "Interpretable feature selection and hybrid deep learning models for depressive symptoms prediction from wearable device data," J. Med. Syst., 2026.</w:t>
      </w:r>
    </w:p>
    <w:p w14:paraId="6A9CBA3B" w14:textId="77777777" w:rsidR="00087DF9" w:rsidRDefault="00000000">
      <w:pPr>
        <w:spacing w:after="40"/>
        <w:ind w:left="360" w:hanging="360"/>
        <w:jc w:val="both"/>
      </w:pPr>
      <w:r>
        <w:t>[5]</w:t>
      </w:r>
      <w:r>
        <w:tab/>
        <w:t>S. Fisher et al., "Language-based detection of depression with machine learning: Systematic review and meta-analysis," npj Digit. Med., 2026.</w:t>
      </w:r>
    </w:p>
    <w:p w14:paraId="19A15568" w14:textId="77777777" w:rsidR="00087DF9" w:rsidRDefault="00000000">
      <w:pPr>
        <w:spacing w:after="40"/>
        <w:ind w:left="360" w:hanging="360"/>
        <w:jc w:val="both"/>
      </w:pPr>
      <w:r>
        <w:t>[6]</w:t>
      </w:r>
      <w:r>
        <w:tab/>
        <w:t>Y. Li et al., "FedMentalHealth: Privacy-preserving federated learning for depression detection," in Proc. AAAI, 2023, pp. 14215–14223.</w:t>
      </w:r>
    </w:p>
    <w:p w14:paraId="5D5646CE" w14:textId="77777777" w:rsidR="00087DF9" w:rsidRDefault="00000000">
      <w:pPr>
        <w:spacing w:after="40"/>
        <w:ind w:left="360" w:hanging="360"/>
        <w:jc w:val="both"/>
      </w:pPr>
      <w:r>
        <w:t>[7]</w:t>
      </w:r>
      <w:r>
        <w:tab/>
        <w:t>Y. Zhang et al., "Text-based depression estimation using machine learning with standard labels: Systematic review and meta-analysis," JMIR, 2026.</w:t>
      </w:r>
    </w:p>
    <w:p w14:paraId="51E72660" w14:textId="77777777" w:rsidR="00087DF9" w:rsidRDefault="00000000">
      <w:pPr>
        <w:spacing w:after="40"/>
        <w:ind w:left="360" w:hanging="360"/>
        <w:jc w:val="both"/>
      </w:pPr>
      <w:r>
        <w:t>[8]</w:t>
      </w:r>
      <w:r>
        <w:tab/>
        <w:t>S. Thamrin and M. Chen, "Enhancing explainability and performance of depression detection on social media," Health Inf. Sci. Syst., 2026.</w:t>
      </w:r>
    </w:p>
    <w:p w14:paraId="2BB80D0A" w14:textId="77777777" w:rsidR="00087DF9" w:rsidRDefault="00000000">
      <w:pPr>
        <w:spacing w:after="40"/>
        <w:ind w:left="360" w:hanging="360"/>
        <w:jc w:val="both"/>
      </w:pPr>
      <w:r>
        <w:t>[9]</w:t>
      </w:r>
      <w:r>
        <w:tab/>
        <w:t>M. M. Khan et al., "A comprehensive framework for multi-modal depression detection: Integrating adaptive fusion, fairness regularization, and explainable AI," Mathematics, vol. 14, no. 4, p. 711, 2026.</w:t>
      </w:r>
    </w:p>
    <w:p w14:paraId="4ED8FC25" w14:textId="77777777" w:rsidR="00087DF9" w:rsidRDefault="00000000">
      <w:pPr>
        <w:spacing w:after="40"/>
        <w:ind w:left="360" w:hanging="360"/>
        <w:jc w:val="both"/>
      </w:pPr>
      <w:r>
        <w:t>[10]</w:t>
      </w:r>
      <w:r>
        <w:tab/>
        <w:t>E. Esmi et al., "Multimodal transformer for depression detection based on EEG and interview data," Biomed. Signal Process. Control, 2026.</w:t>
      </w:r>
    </w:p>
    <w:p w14:paraId="754DE42A" w14:textId="77777777" w:rsidR="00087DF9" w:rsidRDefault="00000000">
      <w:pPr>
        <w:spacing w:after="40"/>
        <w:ind w:left="360" w:hanging="360"/>
        <w:jc w:val="both"/>
      </w:pPr>
      <w:r>
        <w:t>[11]</w:t>
      </w:r>
      <w:r>
        <w:tab/>
        <w:t>S. Olbrich et al., "Deep learning using EEG data for diagnosing and predicting SSRI response in major depressive disorder," Commun. Med., 2026.</w:t>
      </w:r>
    </w:p>
    <w:p w14:paraId="48371F76" w14:textId="77777777" w:rsidR="00087DF9" w:rsidRDefault="00000000">
      <w:pPr>
        <w:spacing w:after="40"/>
        <w:ind w:left="360" w:hanging="360"/>
        <w:jc w:val="both"/>
      </w:pPr>
      <w:r>
        <w:t>[12]</w:t>
      </w:r>
      <w:r>
        <w:tab/>
        <w:t>K. Baek et al., "Contactless depression screening via facial video-derived heart rate variability," Transl. Psychiatry, 2026.</w:t>
      </w:r>
    </w:p>
    <w:p w14:paraId="05BEC39E" w14:textId="77777777" w:rsidR="00087DF9" w:rsidRDefault="00000000">
      <w:pPr>
        <w:spacing w:after="40"/>
        <w:ind w:left="360" w:hanging="360"/>
        <w:jc w:val="both"/>
      </w:pPr>
      <w:r>
        <w:t>[13]</w:t>
      </w:r>
      <w:r>
        <w:tab/>
        <w:t>J. Liu et al., "Wearable-based AI depression detection: Systematic review and meta-analysis," JMIR Ment. Health, 2026.</w:t>
      </w:r>
    </w:p>
    <w:p w14:paraId="02633E66" w14:textId="77777777" w:rsidR="00087DF9" w:rsidRDefault="00000000">
      <w:pPr>
        <w:spacing w:after="40"/>
        <w:ind w:left="360" w:hanging="360"/>
        <w:jc w:val="both"/>
      </w:pPr>
      <w:r>
        <w:t>[14]</w:t>
      </w:r>
      <w:r>
        <w:tab/>
        <w:t>J. Kong et al., "Interpretable depressive symptoms screening via statistical reasoning-augmented LLMs using wearable data," Sci. Rep., 2026.</w:t>
      </w:r>
    </w:p>
    <w:p w14:paraId="345D72CC" w14:textId="77777777" w:rsidR="00087DF9" w:rsidRDefault="00000000">
      <w:pPr>
        <w:spacing w:after="40"/>
        <w:ind w:left="360" w:hanging="360"/>
        <w:jc w:val="both"/>
      </w:pPr>
      <w:r>
        <w:t>[15]</w:t>
      </w:r>
      <w:r>
        <w:tab/>
        <w:t>M. M. Tadesse et al., "Detection of depression-related posts in Reddit social media forum," IEEE Access, vol. 7, pp. 44883–44893, 2019.</w:t>
      </w:r>
    </w:p>
    <w:p w14:paraId="0009C83E" w14:textId="77777777" w:rsidR="00087DF9" w:rsidRDefault="00000000">
      <w:pPr>
        <w:spacing w:after="40"/>
        <w:ind w:left="360" w:hanging="360"/>
        <w:jc w:val="both"/>
      </w:pPr>
      <w:r>
        <w:t>[16]</w:t>
      </w:r>
      <w:r>
        <w:tab/>
        <w:t>T. Alhanai, M. Ghassemi, and J. Glass, "Detecting depression with audio/text sequences from interviews," in Proc. Interspeech, 2018, pp. 1716–1720.</w:t>
      </w:r>
    </w:p>
    <w:p w14:paraId="1253AB9F" w14:textId="77777777" w:rsidR="00087DF9" w:rsidRDefault="00000000">
      <w:pPr>
        <w:spacing w:after="40"/>
        <w:ind w:left="360" w:hanging="360"/>
        <w:jc w:val="both"/>
      </w:pPr>
      <w:r>
        <w:t>[17]</w:t>
      </w:r>
      <w:r>
        <w:tab/>
        <w:t>J. R. Williamson et al., "Detecting depression using vocal, cognitive, and structural features," in Proc. Interspeech, 2016.</w:t>
      </w:r>
    </w:p>
    <w:p w14:paraId="2EEBB5FA" w14:textId="77777777" w:rsidR="00087DF9" w:rsidRDefault="00000000">
      <w:pPr>
        <w:spacing w:after="40"/>
        <w:ind w:left="360" w:hanging="360"/>
        <w:jc w:val="both"/>
      </w:pPr>
      <w:r>
        <w:t>[18]</w:t>
      </w:r>
      <w:r>
        <w:tab/>
        <w:t>K. Naseem et al., "A comprehensive review on automatic text-based approaches for mental health classification," Artif. Intell. Rev., vol. 54, pp. 5183–5244, 2021.</w:t>
      </w:r>
    </w:p>
    <w:p w14:paraId="23B0F655" w14:textId="77777777" w:rsidR="00087DF9" w:rsidRDefault="00000000">
      <w:pPr>
        <w:spacing w:after="40"/>
        <w:ind w:left="360" w:hanging="360"/>
        <w:jc w:val="both"/>
      </w:pPr>
      <w:r>
        <w:t>[19]</w:t>
      </w:r>
      <w:r>
        <w:tab/>
        <w:t>T. Lin et al., "Explainable AI for mental health diagnostics: SHAP-based attribution in multimodal depression detection," IEEE Trans. Neural Syst. Rehabil. Eng., vol. 32, pp. 1254–1266, 2024.</w:t>
      </w:r>
    </w:p>
    <w:p w14:paraId="56E6D938" w14:textId="77777777" w:rsidR="00087DF9" w:rsidRDefault="00000000">
      <w:pPr>
        <w:spacing w:after="40"/>
        <w:ind w:left="360" w:hanging="360"/>
        <w:jc w:val="both"/>
      </w:pPr>
      <w:r>
        <w:t>[20]</w:t>
      </w:r>
      <w:r>
        <w:tab/>
        <w:t>A. H. Abuhassan et al., "EEG-based deep learning for depression detection: A systematic review," IEEE Access, 2024.</w:t>
      </w:r>
    </w:p>
    <w:sectPr w:rsidR="00087DF9">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E14A5"/>
    <w:multiLevelType w:val="hybridMultilevel"/>
    <w:tmpl w:val="25C681E4"/>
    <w:lvl w:ilvl="0" w:tplc="74FC4C04">
      <w:start w:val="1"/>
      <w:numFmt w:val="bullet"/>
      <w:lvlText w:val="●"/>
      <w:lvlJc w:val="left"/>
      <w:pPr>
        <w:ind w:left="720" w:hanging="360"/>
      </w:pPr>
    </w:lvl>
    <w:lvl w:ilvl="1" w:tplc="AD341B7E">
      <w:start w:val="1"/>
      <w:numFmt w:val="bullet"/>
      <w:lvlText w:val="○"/>
      <w:lvlJc w:val="left"/>
      <w:pPr>
        <w:ind w:left="1440" w:hanging="360"/>
      </w:pPr>
    </w:lvl>
    <w:lvl w:ilvl="2" w:tplc="1E8C5960">
      <w:start w:val="1"/>
      <w:numFmt w:val="bullet"/>
      <w:lvlText w:val="■"/>
      <w:lvlJc w:val="left"/>
      <w:pPr>
        <w:ind w:left="2160" w:hanging="360"/>
      </w:pPr>
    </w:lvl>
    <w:lvl w:ilvl="3" w:tplc="18421CEA">
      <w:start w:val="1"/>
      <w:numFmt w:val="bullet"/>
      <w:lvlText w:val="●"/>
      <w:lvlJc w:val="left"/>
      <w:pPr>
        <w:ind w:left="2880" w:hanging="360"/>
      </w:pPr>
    </w:lvl>
    <w:lvl w:ilvl="4" w:tplc="96FCD748">
      <w:start w:val="1"/>
      <w:numFmt w:val="bullet"/>
      <w:lvlText w:val="○"/>
      <w:lvlJc w:val="left"/>
      <w:pPr>
        <w:ind w:left="3600" w:hanging="360"/>
      </w:pPr>
    </w:lvl>
    <w:lvl w:ilvl="5" w:tplc="6D086AB0">
      <w:start w:val="1"/>
      <w:numFmt w:val="bullet"/>
      <w:lvlText w:val="■"/>
      <w:lvlJc w:val="left"/>
      <w:pPr>
        <w:ind w:left="4320" w:hanging="360"/>
      </w:pPr>
    </w:lvl>
    <w:lvl w:ilvl="6" w:tplc="82B8311C">
      <w:start w:val="1"/>
      <w:numFmt w:val="bullet"/>
      <w:lvlText w:val="●"/>
      <w:lvlJc w:val="left"/>
      <w:pPr>
        <w:ind w:left="5040" w:hanging="360"/>
      </w:pPr>
    </w:lvl>
    <w:lvl w:ilvl="7" w:tplc="6D863F28">
      <w:start w:val="1"/>
      <w:numFmt w:val="bullet"/>
      <w:lvlText w:val="●"/>
      <w:lvlJc w:val="left"/>
      <w:pPr>
        <w:ind w:left="5760" w:hanging="360"/>
      </w:pPr>
    </w:lvl>
    <w:lvl w:ilvl="8" w:tplc="52667352">
      <w:start w:val="1"/>
      <w:numFmt w:val="bullet"/>
      <w:lvlText w:val="●"/>
      <w:lvlJc w:val="left"/>
      <w:pPr>
        <w:ind w:left="6480" w:hanging="360"/>
      </w:pPr>
    </w:lvl>
  </w:abstractNum>
  <w:num w:numId="1" w16cid:durableId="505438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F9"/>
    <w:rsid w:val="0004511D"/>
    <w:rsid w:val="00087DF9"/>
    <w:rsid w:val="00110AD1"/>
    <w:rsid w:val="00604C3B"/>
    <w:rsid w:val="007A025B"/>
    <w:rsid w:val="00AD31FC"/>
    <w:rsid w:val="00D56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9203D"/>
  <w15:docId w15:val="{7D392283-B683-4B28-8EF6-3D43ABF2A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F803F-E17C-4176-A5EE-88634AEF6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4498</Words>
  <Characters>25644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pathak</cp:lastModifiedBy>
  <cp:revision>5</cp:revision>
  <dcterms:created xsi:type="dcterms:W3CDTF">2026-06-04T02:12:00Z</dcterms:created>
  <dcterms:modified xsi:type="dcterms:W3CDTF">2026-06-04T02:52:00Z</dcterms:modified>
</cp:coreProperties>
</file>