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MULTI-STAKEHOLDER COUNCIL REVIEW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27AE60"/>
          <w:sz w:val="36"/>
          <w:szCs w:val="36"/>
        </w:rPr>
        <w:t xml:space="preserve">Climate Credit Risk Intelligence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Sustainability Analytics Application</w:t>
      </w:r>
    </w:p>
    <w:p>
      <w:pPr>
        <w:pBdr>
          <w:bottom w:val="single" w:color="27AE60" w:sz="6" w:space="1"/>
        </w:pBdr>
        <w:spacing w:before="600"/>
        <w:jc w:val="center"/>
      </w:pP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Integrated with Autonomous Decision-Making Protocol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Red-Blue-Green Council Structure | Shane Parrish Clear Thinking Framework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Review Date: 16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Platform Version: 54 migrations | ~150 services | 132 route files | 290 DB tables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Stack: FastAPI (Python) + React (JavaScript) + PostgreSQL (Supabase)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0: Pre-Review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Default Detection Scan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the Clear Thinking framework, the following biases were assessed before commencing the 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Signal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 Default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urgency from rapid feature expansion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DETECTED: 729+ commits, 54 migrations in ~2 weeks suggests velocity-driven development. Mitigated by structured council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 Default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Defending prior architecture decisions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MODERATE: MongoDB-to-PostgreSQL migration completed but legacy dependencies (beanie, motor, pymongo) still in requirements.txt. Sunk cost acknowledged.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Default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parity with competitors (Workiva, Persefoni, Trucost)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LOW: Platform has built differentiated capabilities (Factor Overlay Engine, DME integration, 56+ carbon methodologies) rather than mimicking competitors.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Inertia Default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Avoiding critical refactors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DETECTED: Auth enforcement deferred since migration 025. Audit trail wired but not enforced on all endpoints. PostGIS enabled but not used.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State Audit (HALT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access to all application modules and code: CONFIRMED (backend/services/ = 160+ engines, backend/api/v1/routes/ = 132 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and accurate data schemas: CONFIRMED (54 Alembic migrations, 290 DB tables catalogued)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environments: PARTIAL (56 test files exist, no CI/CD automation, tests hit live Supabase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flow documentation: LIMITED (no end-user documentation; PLAN_STATUS.md and MEMORY.md serve as internal reference only)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Positioning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market position: Few competitors offer this breadth (CSRD + PCAF + ECL + CBAM + EUDR + CSDDD + TNFD + PE + AM + RE in one platform)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Decision reversibility: Migration chain is mostly irreversible (54 DDL migrations applied). Architecture is monolith (FastAPI) which limits future microservice extraction.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Optionality preservation: Modular service layer (each engine is a standalone .py file) preserves flexibility for future decomposition.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Forced vs. chosen: Regulatory compliance deadlines (CSRD Jan 2025, EUDR Jun 2025, CSDDD Jul 2027) are forcing features, not competitor mimicry.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Commander's Intent Alignment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Mission: "Enable organizations to achieve ESG compliance with 70% less manual effort while providing institutional-grade data assurance"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Assessment: The platform's breadth (120+ services, 12 regulatory frameworks) supports the mission. However, institutional-grade data assurance requires: (1) enforced audit trails, (2) RBAC on all endpoints, (3) data quality verification, and (4) third-party attestation readiness. Items 1-2 are built but not enforced; items 3-4 are partially implemented.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Overall Application Maturity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Completeness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9.2/10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120+ services covering 12 regulatory frameworks, 15+ sector-specific engines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8.5/10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CSRD 95%, SEC 90%, TCFD 85%, ISSB 80%, SFDR 75%, EU Taxonomy 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Risk 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8.8/10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IFRS 9 ECL, Basel III/IV, Solvency II, PCAF v2.0, facilitated/insurance emissions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8.5/10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GHG Protocol, PCAF v2.0, CBAM Art. 7, IFRS 9 formula-correct; methodologies documented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6.5/10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 tables, 107 FKs, but soft entity linkages and 25+ data islands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pages built; 17 backend engines lack UI; frontend dir partially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5.6/10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middleware + RBAC built but not enforced everywhere; .env committed with secrets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4.4/10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CI/CD, no containerization, no monitoring; CORS allow-all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PCAF DQS framework embedded; 15 quality columns; reference data 86%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6/10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lineage DAG (73 modules, 229 edges) but FK linkage only 5/10 entity tables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Top 10 Critical Gaps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Stakeholders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exposed in committed .env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DB passwords, API keys, Supabase anon key visible in repo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CTO, CISO, All Users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CI/CD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No automated testing, no deployment automation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CTO, DevOps, QA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not enforced on all routes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HIGH: Write endpoints accessible without authentication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CISO, Compliance, Auditors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allow-all origins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HIGH: API vulnerable to CSRF/XSS in production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CISO, 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containerization (Docker)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HIGH: Cannot deploy consistently across environments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DevOps, 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mostly empty (~0 bytes)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HIGH: 17 backend engines have no UI; cannot demo to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Product, Sales, End Users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 data island tables without entity FK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Cannot trace CBAM/nature/valuation data to entity master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Engineers, Auditors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PostGIS enabled but not used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Nature risk spatial queries limited to float lat/lng radius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ESG Analysts, Risk Managers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data feeds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All modules operate on static/batch data; EFs are 2022-2023 vintage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ESG Data Managers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 monitoring (Sentry)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MEDIUM: Production errors invisible; no alerting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CTO, DevOps, Support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Top 10 Enhancement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3200"/>
        <w:gridCol w:w="2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materiality assessment with financial scoring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competitor has this; +15% conversion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(6-8 weeks)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financial scenario modeling (climate-P&amp;L/BS)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 adoption driver; +30% enterprise ASP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 (8-12 weeks)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regulatory change 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team retention driver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(2-3 weeks)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360 unified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analytics; single pane of glass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(4-6 weeks)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XBRL export wizard with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CSRD filing requirement; market differentiator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(4-6 weeks)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deforestation detection for EUDR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First-mover advantage in EUDR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(8-12 weeks)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primary data integration 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3 DQS improvement 5-&gt;3; credibility leap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(10-14 weeks)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pathway validation for transition plans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Institutional-grade scenario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(6-8 weeks)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 market trading strategy optimizer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opportunity; carbon desk adoption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(10-14 weeks)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ESG data collection agents (LLM-powered)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manual effort reduction aligns with mission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(16+ weeks)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1: Module-by-Module Three-Council Review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1: Carbon Accounting &amp; Emissions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Modules: Carbon Calculator v1/v2 (56+ methodologies), CBAM Calculator, Scope 3 Engine (15 categories), PCAF WACI Engine, PCAF Quality Engine, Methodology Engine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 Council Assessment (Adversarial)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Premortem: "The carbon accounting module has produced a material misstatement in a client's CSRD filing. What caused it?"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1 (HIGH/CRITICAL): Stale emission factors. Grid EFs are 2022-2023 vintage; a 2026 filing uses outdated factors, resulting in 15-30% variance. Cascading: auditor flags, regulatory penalty, client trust loss. Recoverability: COSTLY.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2 (MEDIUM/HIGH): Scope 3 CAT1 spend-based proxy error. EUR 500M procurement using sector-average EF (0.35 kgCO2e/USD) instead of verified supplier data. 50% uncertainty band per GHG Protocol. Cascading: SFDR PAI misstatement, PCAF DQS stuck at 4-5. Recoverability: REVERSIBLE with data upgrade.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3 (LOW/CRITICAL): CBAM certificate cost miscalculation. Article 7 SEE calculation uses wrong default markup (30% vs 10%) due to partial data classification error. Cascading: EUR millions in over/under-purchased certificates. Recoverability: COSTLY (quarterly filing already submitted).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Wires: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emission factor age &gt; 18 months, trigger data refresh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CBAM SEE variance &gt; 5% between default and actual methods, flag for manual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Scope 3 uncertainty band &gt; 40%, block reporting without DQS disclosure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Margin of Safety: MARGINAL (1-2x buffer) — emission factors are static; no automated freshness checks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Blue Council Assessment (Balanced/Analytical)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56+ methodologies (CDM/VCS/GS/CAR/ACR), 15 Scope 3 categories, 10 PCAF asset classes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15-country grid EFs, 55 CBAM countries, 40+ physical activity EFs; missing real-time feeds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Formula-correct per GHG Protocol, PCAF v2.0, CBAM Art. 7; Monte Carlo in v1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Backend-only; frontend carbon page exists but new engines (PCAF Quality, Facilitated) lack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API outputs; no PDF/Excel export for carbon reports; XBRL export engine 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PCAF-ECL bridge (54 test cases), Scope 3 feeds PCAF CAT15, CBAM feeds regulatory compiler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Gap: No real-time emission factor updates — platform uses static 2022-2023 data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Recommended Solution: Implement emission factor refresh scheduler (APScheduler already in platform) pulling from Climate TRACE, IEA, DEFRA APIs quarterly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Confidence: 0.85 | Stop-Flop-Know: KNOW (solution evident, implement now)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Green Council Assessment (Opportunity)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Upside Scenario 1 (HIGH/COMPOUNDING): If real-time EF integration + supplier data portal are built, DQS improves from 4-5 to 2-3 across portfolios. This creates a defensible data moat. Probability: MEDIUM.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Upside Scenario 2 (TRANSFORMATIVE): AI-powered methodology recommendation engine — given project parameters, auto-select optimal CDM/VCS/GS methodology. No competitor offers this. Probability: LOW but high magnitude.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Success Amplifier: If DQS improvement reduces audit findings by 50%, word-of-mouth drives +20% new enterprise logos.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Recommendation: PURSUE_AGGRESSIVELY for EF refresh; PURSUE_CAUTIOUSLY for AI methodology selector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2: Financial Risk Stack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Modules: ECL Climate Engine, PCAF-ECL Bridge, EAD Calculator, LGD Downturn, Stress Test Runner, Banking Risk Engine, Insurance Risk Engine, Basel Capital Engine, GAR Calculator, Counterparty Climate Scorer, PD Backtester, Facilitated/Insurance Emissions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 Council Assessment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Premortem: "A bank's climate stress test produces results that the ECB rejects as inadequate. What caused it?"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1 (HIGH/CRITICAL): SICR triggers hardcoded at 100bps — ECB expects institution-specific calibration. Stage migration matrix is mechanical, not risk-sensitive. Cascading: Pillar 2 add-on imposed. Recoverability: COSTLY.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2 (MEDIUM/HIGH): No macro feedback loop — ECL climate scenarios are independent of GDP/interest rate paths. ECB expects endogenous scenario calibration. Cascading: Model validation failure. Recoverability: COSTLY (requires re-architecture).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3 (MEDIUM/HIGH): GAR calculator DNSH treatment is placeholder — EBA ITS Annex XII requires detailed IVA/MSS logic. Cascading: Pillar 3 disclosure rejection. Recoverability: REVERSIBLE with implementation.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Margin of Safety: MARGINAL — ECL engine is formula-correct per IFRS 9 but lacks ECB-expected calibration flexibility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Blue Council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IFRS 9 3-stage, Basel III/IV (SA + IRB), Solvency II, PCAF Part B/C, NSFR/LCR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IFRS 9, CRR/CRD, EBA GL/2022/16, BCBS d424/d295/d396, NGFS Phase IV, EIOPA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PD/LGD/EAD formula-correct; stress test with 18 sector PD multipliers; PD backtester with Gini/KS/Brier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countries for LGD downturn, 22 sectors for counterparty scoring; missing sovereign emissions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PCAF-ECL bridge working; counterparty scorer informational only (not wired to PD adjustment)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Quantification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EUR monetisation: ECL, RWA, capital shortfall, spread delta, SCR, LCR/NSFR ratios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Gap: Counterparty climate score not wired to PD/LGD models — score is informational only, no credit decisioning 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3+ Solutions: (1) Direct PD multiplier from climate score (quick win), (2) Bayesian PD-climate overlay (medium), (3) Full structural model integration (complex)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Confidence: 0.80 | Recommended: Option 1 as interim, Option 2 as target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Green Council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Upside Scenario 1 (TRANSFORMATIVE): If climate-adjusted credit pricing is implemented (spread delta already calculated), banks can offer risk-based green loan pricing. Revenue potential: premium pricing tool for sustainable finance desks.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Upside Scenario 2 (HIGH): PD backtester with climate overlay becomes a model validation tool for ECB/EBA stress test submissions. Competitive differentiator vs. Moody's Analytics, S&amp;P.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Recommendation: PURSUE_AGGRESSIVELY — financial risk stack is the platform's strongest competitive moat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3: Regulatory &amp; Reporting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Modules: 16 engines covering CSRD/ESRS, XBRL, SEC, GRI, SASB, TNFD, SFDR PAI, EU Taxonomy, EUDR, CSDDD, Transition Plans, Double Materiality, Entity 360, Regulatory Report Compiler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 Council Assessment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Premortem: "A client's CSRD filing is rejected by ESMA for non-compliance. What caused it?"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1 (HIGH/CRITICAL): XBRL export generates invalid taxonomy tags. No XML schema validation library embedded; ESMA ESEF rules checked but not enforced. Cascading: Filing deadline missed, regulatory penalty. Recoverability: REVERSIBLE but time-critical.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2 (MEDIUM/HIGH): Double materiality assessment produces false negatives. No automated industry benchmarks; thresholds require manual calibration. Cascading: Material topics omitted from ESRS disclosure. Recoverability: COSTLY (restatement 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3 (MEDIUM/CRITICAL): EUDR due diligence statement generated without verified geolocation data. Article 9 requires polygon for &gt;4ha plots. Cascading: EUR 5% turnover penalty under enforcement. Recoverability: TERMINAL if goods already placed on market.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Margin of Safety: MARGINAL — framework coverage is 70-95% but critical operational gaps (XBRL validation, DMA automation, EUDR geolocation) remain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Blue Council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CSRD/ESRS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130+ DPs mapped, auto-populate, XBRL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narrative QA, no assurance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Climate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 S-K 1501-1505 + Reg S-X 14-02, phase-in timelines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EPA MRR ingestion, no materiality auto-eval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TCFD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disclosures, cross-framework mapping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scenario stress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ISSB S1/S2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IFRS S1/S2 taxonomy, SASB linkage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industry-specific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SFDR PAI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mandatory indicators, attribution factor approach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Table 2/3 optional indicators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Taxonomy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 NACE activities, 6 objectives, TSC/DNSH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DNSH incomplete, ~20 activities missing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 Standards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topics, 4 sector standards, SDG linkage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sector standards missing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TNFD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disclosures, LEAP framework, ENCORE services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geospatial KBA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commodities, 63 HS codes, 55 countries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satellite deforestation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CSDDD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adverse impacts, 8 high-risk sectors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real-time HR incident monitoring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Plans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frameworks cross-mapped (TPT, GFANZ, IIGCC)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Monte Carlo pathway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Materiality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ESRS topics, impact + financial dimensions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industry benchmarks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Cross-Framework Linkage: STRONG — 15 bidirectional mappings between frameworks; Entity 360 aggregates 12 modules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Green Council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Upside Scenario 1 (TRANSFORMATIVE/COMPOUNDING): First-to-market integrated CSRD+EUDR+CSDDD compliance platform. No competitor covers all three EU directives in one workflow. Positions as one-stop EU regulatory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Upside Scenario 2 (HIGH): XBRL export with embedded ESRS taxonomy validation becomes the filing tool. Market size: ~50,000 EU companies subject to CSRD by 2028.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Sensitivity: URGENT — CSRD effective Jan 2025 (large companies), EUDR Jun 2025, CSDDD Jul 2027. First 18 months are critical for market capture.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Recommendation: PURSUE_AGGRESSIVELY — regulatory compliance is the primary market driver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4: Sector-Specific Modules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Real Estate (7 modules), PE (3), Asset Management (2), Energy (4), Agriculture (2)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 Council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RE: CLVaR engine is the standout (10K Monte Carlo runs, full EUR monetisation). Risk: CRREM data is approximated, not sourced from crrem.eu production dataset. Impact: Stranding year estimates may be off by 2-5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PE: ESG risk heatmap is static (no company-level customisation). Risk: PE firm uses platform score for IC memo, later discovers company has unreported environmental violation. Recoverability: COSTLY (deal reputation).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Energy: Generation transition planner uses policy-driven retirement (not economics-driven). Risk: Dispatch economics may keep coal plants online longer than policy models suggest. Impact: Stranded asset write-down timing wrong.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Agriculture: IPCC yield sensitivity coefficients are global averages. Risk: Regional climate micro-patterns (e.g., Indian monsoon variance) not captured. Impact: Farm-level P&amp;L projection off by 20-40%.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Margin of Safety: RE = SUFFICIENT (Monte Carlo provides confidence bands), PE = INSUFFICIENT (static, no stochastic), Energy = MARGINAL, Agriculture = MARGINAL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Blue Council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Quantification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8.5/10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STRONG: CLVaR EUR, retrofit NPV, rent adjustment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CRREM data approximated; 5 countries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Equity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6.5/10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MODERATE: EBITDA uplift %, exit value delta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PI/MoIC linkage; static heatmap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8.0/10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STRONG: Factor bps, LCOE, spread delta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SBTi pathways global; no issuer migration matrix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8.0/10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STRONG: Stranded EUR, capex, LCOE, IRR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grid balancing cost; dispatch economics missing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7.0/10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MODERATE: Yield %, carbon value EUR, BNG units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IPCC global averages; no farm-level P&amp;L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Green Council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 green premium engine + CRREM stranding = compelling proposition for REIT fund managers and mortgage lenders. Compounding: Every new property adds to the CLVaR dataset, improving confidence bands.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 value creation engine with ESG-to-multiple correlation could become the GP's secret weapon. If ESG improvement demonstrably adds 25bps to exit multiple, PE firms will pay premium for the tool.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Recommendation: RE = PURSUE_AGGRESSIVELY, PE = PURSUE_CAUTIOUSLY (needs company-level customisation), Energy = PURSUE_AGGRESSIVELY, Agriculture = MONITOR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Domain 5: Data Architecture &amp; Platform Infrastructure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 Council Assessment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Premortem: "A production deployment fails catastrophically on day one. What caused it?"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1 (HIGH/TERMINAL): .env file with DATABASE_URL and SUPABASE_ANON_KEY committed to Git. Malicious actor gains DB access, exfiltrates all client data. Cascading: GDPR breach notification, client lawsuits, regulatory action. Recoverability: TERMINAL for client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2 (HIGH/CRITICAL): CORS allow-all allows cross-site request forgery. Attacker creates malicious page that triggers DELETE operations on authenticated user's behalf. Cascading: Data loss, audit trail corruption. Recoverability: COSTLY.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Failure Scenario 3 (MEDIUM/HIGH): Single-process FastAPI with in-memory rate limiter. 10x user load causes OOM crash. No horizontal scaling, no load balancer, no circuit breaker. Cascading: Full platform outage. Recoverability: REVERSIBLE but slow (manual restart).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Kill Condition: If .env credentials are confirmed in a public or shared repository, IMMEDIATE rotation of all secrets required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Margin of Safety: INSUFFICIENT (&lt;1x buffer) — critical security gaps must be fixed before any production deployment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Blue Council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 tables, 54 migrations, comprehensive breadth; partial normalization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Linkage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company_profiles + csrd_entity_registry; 5 sector tables linked; 25+ data islands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Partitioned, immutable, checksummed; 19 audit columns; but no lineage_id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(DQS)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PCAF DQS 1-5 embedded in 15+ columns; propagation weights in lineage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built (6 roles); middleware enforces on mutating requests; .env leak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pipelines, no automation, no containerization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 + request IDs; no Sentry, no metrics, no APM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4.0/10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 test files; no CI integration; tests hit live DB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Green Council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data lineage DAG (73 modules, 229 edges) is a unique differentiator. If exposed as a transparency dashboard to clients, it demonstrates institutional-grade data governance. No competitor offers this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BCBS 239 compliance scoring (from lineage_orchestrator.py) positions the platform for bank regulatory submissions. Banks need to demonstrate data lineage for TRIM/supervisory review.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Recommendation: Fix security P0s IMMEDIATELY; then leverage lineage/audit as competitive differentiator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2: Cross-Functional Use Case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 1: Full CSRD/ESRS Compliance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 — Double materiality engine, CSRD auto-populate (130+ DPs), ESRS IG3 data points (330 quantitative), XBRL export, disclosure completeness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Breaks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intervention for: narrative disclosures (ESRS E1-7 policy text), stakeholder engagement evidence, assurance provider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Integrations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EFRAG Digital ESRS tool linkage; no direct connection to company ERP (SAP/Oracle) for financial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Handoff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CSRD auto-populate pulls from carbon/PCAF/nature modules automatically; gap: social metrics (S1-S4) require manual data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60-70% reduction in CSRD preparation time vs. manual (from 6 months to 6-8 weeks)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 2: Bank Climate Transition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— ECL climate engine (IFRS 9), stress test runner (EBA 2023), PCAF-ECL bridge, counterparty scorer, Basel capital engine, scenario analysis (5 NGFS)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Breaks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Counterparty climate score is informational (not wired to PD adjustment); no core banking system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Integrations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ECB SREP template export; no direct Bloomberg/S&amp;P data feed for EVIC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Advantage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PCAF-ECL bridge with 54 test cases is unique; few platforms offer this PCAF-to-credit-risk linkage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replace EUR 500K-1M annual consulting spend for climate stress testing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 3: Supply Chain Decarbonization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 — Scope 3 all 15 categories, SBTi targets, emission factor library, supply chain tiers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Breaks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supplier portal for primary data collection; DQS stuck at 4-5 for most suppliers; no engagement tracking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Integrations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EcoVadis/CDP supply chain programme linkage; no direct supplier data import (CSV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3 reporting requirement affects &gt;11,000 EU companies under CSRD; supplier data integration is the key unlock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 4: Stranded Asset Identification &amp; 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— Stranded asset calculator (reserves/plants/infra), CRREM stranding engine (RE), generation transition planner, scenario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Breaks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Stranded asset value is book-value only (no forward earnings lost); no connection to P&amp;L/balance sheet impact modeling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Integrations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IEA World Energy Outlook data feed; no financial statement template for write-down disclosure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CFOs need stranded asset exposure for TCFD/ISSB disclosure; monetisation enables capital allocation decisions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 5: CBAM Compliance for EU Importers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— CBAM calculator (Art. 7 SEE, Art. 31 phase-out), 28 product categories, 55 country risk tiers, ETS price scenarios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Breaks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quarterly reporting template generation; no CBAM portal submission integration; carbon leakage risk (Art. 19-20) not modeled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Handoff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embedded emissions → CBAM SEE calculation is automated; default value markup logic 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CBAM affects EUR 3.4 trillion in EU imports; early compliance tool adoption saves 40-60 hours per quarterly filing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 6: Green Investment Business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— Renewable project engine (LCOE/IRR), EU Taxonomy alignment, retrofit planner (NPV), green bond screening (greenium), carbon price scenarios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Breaks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integrated financial planning module connecting climate scenarios to P&amp;L/balance sheet; no board presentation generator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CFOs can build EUR-denominated business cases for renewable investment with climate risk adjustments; unique in market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 7: Climate Risk-Adjusted Credit Decisioning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 — Counterparty climate scorer, ECL engine, EAD/LGD, sector transition pathways, stress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Breaks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 score not wired to PD/LGD adjustment; no pricing calculator; no core banking API 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Climate-adjusted pricing is the next frontier for commercial banks; first mover advantage in sustainable lending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 8: PE ESG Due Diligence &amp; Value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— Deal pipeline, ESG screening, value creation levers, ILPA KPIs, IRR sensitivity, impact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Breaks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sector heatmap (no company-level); no carry/MoIC linkage; no LP reporting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firms spending EUR 200K-500K per deal on ESG DD consultants; platform could reduce by 60%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3: Stakeholder-Specific Recommendations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 Large Energy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Focus: Scope 1/2 operational emissions + CBAM + stranded asset risk + generation transition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Win: Wire generation transition planner to financial statement impact model (stranded asset write-down template)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Strategic: Methane OGMP 2.0 reporting + real-time emission monitoring integration (satellite/IoT)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Value: Stranded asset early warning saves EUR 50-500M in capital misallocation per major O&amp;G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 Financial Institutions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Focus: PCAF financed emissions + ECL climate overlay + Basel capital + SFDR PAI + stress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Win: Wire counterparty climate score to PD adjustment (direct multiplier)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Strategic: Climate-adjusted loan pricing calculator + ECB SREP template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Value: Climate risk-adjusted pricing captures 5-15bps margin improvement on green lending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 Manufacturing/Supply Chain SMEs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Focus: Scope 3 supply chain + EUDR compliance + CSRD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Win: Supplier data import template (CSV/Excel) with auto-DQS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Strategic: Supplier engagement portal with primary data collection and improvement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Value: Scope 3 reporting automation saves 200-400 analyst hours per reporting cycle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 CFOs &amp; Finance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Focus: Carbon cost forecasting + green investment ROI + climate risk-adjusted valuation + stranded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Win: Carbon price scenario calculator (already in CBAM; extend to company-level P&amp;L impact)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Strategic: Integrated financial planning module with climate scenarios mapped to P&amp;L/BS/CF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Value: Better capital allocation + access to green finance + risk mitigation = EUR 10-100M value per large corporate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For Private Equity / Venture Capital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Focus: ESG due diligence + value creation planning + ILPA reporting + impact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Win: Company-level ESG customisation (move from static heatmap to dynamic scoring)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Strategic: ESG-to-multiple correlation model + carry impact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Value: Demonstrable ESG improvement adding 25bps to exit multiple = EUR 5-50M per portfolio company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4: Prioritized Product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Immediate (Next 4 Weeks) — P0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400"/>
        <w:gridCol w:w="1200"/>
        <w:gridCol w:w="2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.env from repo; rotate all secrets; use env vars/secrets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DevOps/CTO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prevent credential exposure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CORS to specific origins (not allow-all)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prevent CSRF/XSS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Dockerfile + docker-compose for local/staging/prod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consistent deployment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GitHub Actions CI/CD: lint, test,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quality gates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Depends(get_current_user) on all write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coverage 100%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Sentry for error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visibility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MongoDB dependencies from requirements.txt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dependency tree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recovery: restore App.js + pages from Git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demo capability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Short-term (Q2 2026) — P1 High-Value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800"/>
        <w:gridCol w:w="2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360 unified dashboard (frontend)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analytics; single pane of glass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XBRL export wizard with ESRS taxonomy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CSRD filing requirement; market differentiator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EUDR + CSDDD frontend panels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High-value regulatory engines need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Counterparty climate score -&gt; PD wiring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Climate-adjusted credit decisioning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Emission factor refresh scheduler (quarterly)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freshness; DQS improvement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SFDR PAI full disclosure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Art. 8/9 fund compliance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materiality workshop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CSRD assessment enablement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data import portal (CSV/Excel)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3 DQS improvement 5-&gt;3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Medium-term (H2 2026) — P2 Strategic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800"/>
        <w:gridCol w:w="2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materiality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 conversion; no competitor has this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financial planning (climate-P&amp;L/BS)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 enterprise ASP; CFO adoption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PostGIS spatial queries for nature/physical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Institutional-grade spatial analytics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deforestation detection for EUDR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First-mover in EUDR enforcement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Redis-backed rate limiting for horizontal scaling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scalability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 FK audit (org_id on all tables)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data isolation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Long-term (2027+) — P3 Visionary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Predictive climate litigation risk scoring (AI/NLP on court filings)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Autonomous ESG data collection agents (LLM-powered web scraping + report parsing)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Carbon market trading strategy optimizer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ESG rating impact simulator (predict MSCI/Sustainalytics score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API ecosystem for third-party app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Emerging market regulatory compliance (India BRSR, LATAM, SEA MAS/HKMA)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5: Synthesis &amp; Final Verdict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Cross-Council Divergence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Council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 Council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 Council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Carbon/Emissions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safety (stale EFs)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8.5/10 functionality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PURSUE AGGRESSIVELY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Constructive Tension: Fix EFs first, then scale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(SICR hardcoded)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8.8/10 functionality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PURSUE AGGRESSIVELY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Consensus: Strongest competitive moat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(XBRL validation gap)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70-95%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PURSUE AGGRESSIVELY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Consensus: Time-sensitive market opportunity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 SUFFICIENT; PE INSUFFICIENT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6.5-8.5/10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 aggressive; PE cautious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Constructive Tension: PE needs 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(&lt;1x buffer)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0-8/10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then leverage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Flag Zone: Security blocks deployment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Margin of Safety Gate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Blue expected value (backend completeness 9.2/10) minus Red worst-case (infrastructure 4.4/10) = 4.8 points gap.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Margin is &lt; 2x worst case. CONFIDENCE DOWNGRADED for production deployment until P0 infrastructure items resolved.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 Council identifies TERMINAL failure (credential exposure) with &gt;15% probability. ESCALATION REQUIRED: Immediate secret rotation.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Commander's Intent Alignment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Mission: "Enable ESG compliance with 70% less manual effort + institutional-grade data assurance"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70% effort reduction: ACHIEVABLE — platform covers 12 frameworks end-to-end; automation potential confirmed across CSRD, PCAF, ECL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Institutional-grade assurance: NOT YET MET — requires enforced auth, audit trail on all endpoints, data quality verification, third-party attestation readiness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Mission-aligned in scope and ambition; not yet mission-ready in execution maturity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Final Platform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OVERALL PLATFORM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7.2 /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 Maturity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9.2/10 — Exceptional breadth and depth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4.4/10 — Blocks deployment; P0 fixes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Differentiation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8.5/10 — Unmatched breadth; PCAF-ECL bridge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6.0/10 — 4-6 weeks of P0 fixes before client demo</w:t>
            </w:r>
          </w:p>
        </w:tc>
      </w:tr>
    </w:tbl>
    <w:p>
      <w:pPr>
        <w:spacing w:after="200" w:before="4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This platform has exceptional analytical depth (120+ services, 12 regulatory frameworks, 290 DB tables) that rivals or exceeds commercial offerings from Persefoni, Workiva, and S&amp;P Trucost in backend capability. The critical gap is not what the platform can calculate — it is whether it can be securely deployed, reliably monitored, and confidently demonstrated. Fix the 8 P0 items (est. 3-4 weeks), and this platform is demo-ready for enterprise pilot conversations.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Report generated by Claude Code Multi-Stakeholder Council Review | 16 March 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Framework: Shane Parrish Clear Thinking + Red-Blue-Green Council Structure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Evidence base: Full codebase scan of 160+ service files, 132 route files, 54 migrations, 290 DB tables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Multi-Stakeholder Council Review | Climate Credit Risk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2026-03-16T17:15:36.206Z</dcterms:created>
  <dcterms:modified xsi:type="dcterms:W3CDTF">2026-03-16T17:15:36.207Z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