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ns1="http://schemas.openxmlformats.org/markup-compatibility/2006" xmlns:r="http://schemas.openxmlformats.org/officeDocument/2006/relationships" xmlns:w="http://schemas.openxmlformats.org/wordprocessingml/2006/main" xmlns:w14="http://schemas.microsoft.com/office/word/2010/wordml" ns1:Ignorable="w14 w15 w16se w16cid w16 w16cex w16sdtdh w16sdtfl w16du wp14">
  <w:body>
    <w:p w14:paraId="533FAE3D" w14:textId="7880269E" w:rsidR="00DF7134" w:rsidRDefault="00DF7134">
      <w:pPr>
        <w:rPr>
          <w:rFonts w:ascii="Times New Roman" w:eastAsia="Times New Roman" w:hAnsi="Times New Roman" w:cs="Times New Roman"/>
          <w:b/>
          <w:bCs/>
          <w:sz w:val="28"/>
          <w:szCs w:val="28"/>
        </w:rPr>
      </w:pPr>
      <w:r w:rsidRPr="592A5A24">
        <w:rPr>
          <w:rFonts w:ascii="Times New Roman" w:eastAsia="Times New Roman" w:hAnsi="Times New Roman" w:cs="Times New Roman"/>
          <w:b/>
          <w:bCs/>
          <w:sz w:val="28"/>
          <w:szCs w:val="28"/>
        </w:rPr>
        <w:t xml:space="preserve">Lexical Semantic </w:t>
      </w:r>
      <w:r w:rsidR="004B4E48" w:rsidRPr="592A5A24">
        <w:rPr>
          <w:rFonts w:ascii="Times New Roman" w:eastAsia="Times New Roman" w:hAnsi="Times New Roman" w:cs="Times New Roman"/>
          <w:b/>
          <w:bCs/>
          <w:sz w:val="28"/>
          <w:szCs w:val="28"/>
        </w:rPr>
        <w:t xml:space="preserve">Edge </w:t>
      </w:r>
      <w:r w:rsidRPr="592A5A24">
        <w:rPr>
          <w:rFonts w:ascii="Times New Roman" w:eastAsia="Times New Roman" w:hAnsi="Times New Roman" w:cs="Times New Roman"/>
          <w:b/>
          <w:bCs/>
          <w:sz w:val="28"/>
          <w:szCs w:val="28"/>
        </w:rPr>
        <w:t>Context Injection Improves Graph Representation Learning at Low Cost</w:t>
      </w:r>
    </w:p>
    <w:p w14:paraId="2CE0FF74" w14:textId="1320FF02" w:rsidR="00DF7134" w:rsidRDefault="00DF7134" w:rsidP="00DF7134">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Marcello DeLuca</w:t>
      </w:r>
      <w:r w:rsidRPr="592A5A24">
        <w:rPr>
          <w:rFonts w:ascii="Times New Roman" w:eastAsia="Times New Roman" w:hAnsi="Times New Roman" w:cs="Times New Roman"/>
          <w:sz w:val="22"/>
          <w:szCs w:val="22"/>
          <w:vertAlign w:val="superscript"/>
        </w:rPr>
        <w:t>1</w:t>
      </w:r>
      <w:r w:rsidRPr="592A5A24">
        <w:rPr>
          <w:rFonts w:ascii="Times New Roman" w:eastAsia="Times New Roman" w:hAnsi="Times New Roman" w:cs="Times New Roman"/>
          <w:sz w:val="22"/>
          <w:szCs w:val="22"/>
        </w:rPr>
        <w:t>, Sahil Kapadia</w:t>
      </w:r>
      <w:r w:rsidRPr="592A5A24">
        <w:rPr>
          <w:rFonts w:ascii="Times New Roman" w:eastAsia="Times New Roman" w:hAnsi="Times New Roman" w:cs="Times New Roman"/>
          <w:sz w:val="22"/>
          <w:szCs w:val="22"/>
          <w:vertAlign w:val="superscript"/>
        </w:rPr>
        <w:t>1</w:t>
      </w:r>
      <w:r w:rsidRPr="592A5A24">
        <w:rPr>
          <w:rFonts w:ascii="Times New Roman" w:eastAsia="Times New Roman" w:hAnsi="Times New Roman" w:cs="Times New Roman"/>
          <w:sz w:val="22"/>
          <w:szCs w:val="22"/>
        </w:rPr>
        <w:t>, Kushal Koirala</w:t>
      </w:r>
      <w:r w:rsidRPr="592A5A24">
        <w:rPr>
          <w:rFonts w:ascii="Times New Roman" w:eastAsia="Times New Roman" w:hAnsi="Times New Roman" w:cs="Times New Roman"/>
          <w:sz w:val="22"/>
          <w:szCs w:val="22"/>
          <w:vertAlign w:val="superscript"/>
        </w:rPr>
        <w:t>1</w:t>
      </w:r>
      <w:r w:rsidRPr="592A5A24">
        <w:rPr>
          <w:rFonts w:ascii="Times New Roman" w:eastAsia="Times New Roman" w:hAnsi="Times New Roman" w:cs="Times New Roman"/>
          <w:sz w:val="22"/>
          <w:szCs w:val="22"/>
        </w:rPr>
        <w:t>, Christopher Bizon</w:t>
      </w:r>
      <w:r w:rsidRPr="592A5A24">
        <w:rPr>
          <w:rFonts w:ascii="Times New Roman" w:eastAsia="Times New Roman" w:hAnsi="Times New Roman" w:cs="Times New Roman"/>
          <w:sz w:val="22"/>
          <w:szCs w:val="22"/>
          <w:vertAlign w:val="superscript"/>
        </w:rPr>
        <w:t>2</w:t>
      </w:r>
      <w:r w:rsidRPr="592A5A24">
        <w:rPr>
          <w:rFonts w:ascii="Times New Roman" w:eastAsia="Times New Roman" w:hAnsi="Times New Roman" w:cs="Times New Roman"/>
          <w:sz w:val="22"/>
          <w:szCs w:val="22"/>
        </w:rPr>
        <w:t>, Alexander Tropsha</w:t>
      </w:r>
      <w:r w:rsidRPr="592A5A24">
        <w:rPr>
          <w:rFonts w:ascii="Times New Roman" w:eastAsia="Times New Roman" w:hAnsi="Times New Roman" w:cs="Times New Roman"/>
          <w:sz w:val="22"/>
          <w:szCs w:val="22"/>
          <w:vertAlign w:val="superscript"/>
        </w:rPr>
        <w:t>1</w:t>
      </w:r>
      <w:r w:rsidR="00B1711F" w:rsidRPr="592A5A24">
        <w:rPr>
          <w:rFonts w:ascii="Times New Roman" w:eastAsia="Times New Roman" w:hAnsi="Times New Roman" w:cs="Times New Roman"/>
          <w:sz w:val="22"/>
          <w:szCs w:val="22"/>
          <w:vertAlign w:val="superscript"/>
        </w:rPr>
        <w:t>*</w:t>
      </w:r>
    </w:p>
    <w:p w14:paraId="0149B916" w14:textId="77777777" w:rsidR="00DF7134" w:rsidRDefault="00DF7134" w:rsidP="00DF7134">
      <w:pPr>
        <w:rPr>
          <w:rFonts w:ascii="Times New Roman" w:eastAsia="Times New Roman" w:hAnsi="Times New Roman" w:cs="Times New Roman"/>
          <w:sz w:val="22"/>
          <w:szCs w:val="22"/>
        </w:rPr>
      </w:pPr>
    </w:p>
    <w:p w14:paraId="4850C4FB" w14:textId="59DA310E" w:rsidR="00DF7134" w:rsidRDefault="00DF7134" w:rsidP="00DF7134">
      <w:pPr>
        <w:pStyle w:val="ListParagraph"/>
        <w:numPr>
          <w:ilvl w:val="0"/>
          <w:numId w:val="2"/>
        </w:num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Division of Chemical Biology and Medicinal Chemistry, Eshelman School of Pharmacy, University of North Carolina at Chapel Hill, Chapel Hill, NC 27599</w:t>
      </w:r>
    </w:p>
    <w:p w14:paraId="3105EC89" w14:textId="045C5080" w:rsidR="00DF7134" w:rsidRPr="008C49C8" w:rsidRDefault="00DF7134" w:rsidP="00DF7134">
      <w:pPr>
        <w:pStyle w:val="ListParagraph"/>
        <w:numPr>
          <w:ilvl w:val="0"/>
          <w:numId w:val="2"/>
        </w:num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Renaissance Computing Institute at UNC Chapel Hill, Chape</w:t>
      </w:r>
      <w:r w:rsidR="002022FD" w:rsidRPr="592A5A24">
        <w:rPr>
          <w:rFonts w:ascii="Times New Roman" w:eastAsia="Times New Roman" w:hAnsi="Times New Roman" w:cs="Times New Roman"/>
          <w:sz w:val="22"/>
          <w:szCs w:val="22"/>
        </w:rPr>
        <w:t>l</w:t>
      </w:r>
      <w:r w:rsidRPr="592A5A24">
        <w:rPr>
          <w:rFonts w:ascii="Times New Roman" w:eastAsia="Times New Roman" w:hAnsi="Times New Roman" w:cs="Times New Roman"/>
          <w:sz w:val="22"/>
          <w:szCs w:val="22"/>
        </w:rPr>
        <w:t xml:space="preserve"> Hill, NC </w:t>
      </w:r>
    </w:p>
    <w:p w14:paraId="76756172" w14:textId="77777777" w:rsidR="008C49C8" w:rsidRDefault="008C49C8" w:rsidP="00DF7134">
      <w:pPr>
        <w:rPr>
          <w:rFonts w:ascii="Times New Roman" w:eastAsia="Times New Roman" w:hAnsi="Times New Roman" w:cs="Times New Roman"/>
          <w:sz w:val="22"/>
          <w:szCs w:val="22"/>
        </w:rPr>
      </w:pPr>
    </w:p>
    <w:p w14:paraId="31114065" w14:textId="7D1FD7FE" w:rsidR="00B1711F" w:rsidRDefault="0D294C8C" w:rsidP="00DF7134">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*e</w:t>
      </w:r>
      <w:r w:rsidR="66170FFB" w:rsidRPr="592A5A24">
        <w:rPr>
          <w:rFonts w:ascii="Times New Roman" w:eastAsia="Times New Roman" w:hAnsi="Times New Roman" w:cs="Times New Roman"/>
          <w:sz w:val="22"/>
          <w:szCs w:val="22"/>
        </w:rPr>
        <w:t xml:space="preserve">mail: </w:t>
      </w:r>
      <w:hyperlink r:id="rId7">
        <w:r w:rsidR="66170FFB" w:rsidRPr="592A5A24">
          <w:rPr>
            <w:rStyle w:val="Hyperlink"/>
            <w:rFonts w:ascii="Times New Roman" w:eastAsia="Times New Roman" w:hAnsi="Times New Roman" w:cs="Times New Roman"/>
            <w:sz w:val="22"/>
            <w:szCs w:val="22"/>
          </w:rPr>
          <w:t>alex_tropsha@unc.edu</w:t>
        </w:r>
      </w:hyperlink>
    </w:p>
    <w:p w14:paraId="06B93CB5" w14:textId="77777777" w:rsidR="00DF7134" w:rsidRDefault="00DF7134" w:rsidP="00DF7134">
      <w:pPr>
        <w:rPr>
          <w:rFonts w:ascii="Times New Roman" w:eastAsia="Times New Roman" w:hAnsi="Times New Roman" w:cs="Times New Roman"/>
          <w:sz w:val="22"/>
          <w:szCs w:val="22"/>
        </w:rPr>
      </w:pPr>
    </w:p>
    <w:p w14:paraId="23EB96FF" w14:textId="7DDBA20A"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Contents (for editing / internal use)</w:t>
      </w:r>
    </w:p>
    <w:p w14:paraId="7DB4836C" w14:textId="2993FAE7"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Abstract</w:t>
      </w:r>
    </w:p>
    <w:p w14:paraId="71B3CA91" w14:textId="0C054862"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Introduction</w:t>
      </w:r>
    </w:p>
    <w:p w14:paraId="1324CE63" w14:textId="34CC31C8"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Results</w:t>
      </w:r>
    </w:p>
    <w:p w14:paraId="449EA101" w14:textId="2E7E0F76" w:rsidR="00D23441" w:rsidRDefault="00D23441" w:rsidP="00D23441">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Convert edges &amp; edge features to natural language for LLM featurization</w:t>
      </w:r>
    </w:p>
    <w:p w14:paraId="7E97E104" w14:textId="371F2925" w:rsidR="00F24B25" w:rsidRDefault="00F24B25" w:rsidP="00D23441">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LLM featurization of natural language</w:t>
      </w:r>
    </w:p>
    <w:p w14:paraId="0CBF8F7A" w14:textId="7F8DEECF" w:rsidR="00F24B25" w:rsidRDefault="00F24B25" w:rsidP="00D23441">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 xml:space="preserve">EdgeAggregator </w:t>
      </w:r>
      <w:r w:rsidR="00C55C07" w:rsidRPr="592A5A24">
        <w:rPr>
          <w:rFonts w:ascii="Times New Roman" w:eastAsia="Times New Roman" w:hAnsi="Times New Roman" w:cs="Times New Roman"/>
          <w:b/>
          <w:bCs/>
          <w:color w:val="C00000"/>
          <w:sz w:val="22"/>
          <w:szCs w:val="22"/>
        </w:rPr>
        <w:t>(message passing w/ LLM features for edges only (low-leakage))</w:t>
      </w:r>
    </w:p>
    <w:p w14:paraId="0255C7D7" w14:textId="12AA1B88" w:rsidR="009928C1" w:rsidRPr="007E235E" w:rsidRDefault="00C55C07" w:rsidP="007E235E">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 xml:space="preserve">EdgeNodeFeatureAggregator (message passing w/ LLM features for </w:t>
      </w:r>
      <w:r w:rsidR="009928C1" w:rsidRPr="592A5A24">
        <w:rPr>
          <w:rFonts w:ascii="Times New Roman" w:eastAsia="Times New Roman" w:hAnsi="Times New Roman" w:cs="Times New Roman"/>
          <w:b/>
          <w:bCs/>
          <w:color w:val="C00000"/>
          <w:sz w:val="22"/>
          <w:szCs w:val="22"/>
        </w:rPr>
        <w:t>edges &amp; nodes)</w:t>
      </w:r>
    </w:p>
    <w:p w14:paraId="0D57B4E2" w14:textId="7FA6AA9B" w:rsidR="0011745B" w:rsidRDefault="0011745B" w:rsidP="0011745B">
      <w:pPr>
        <w:pStyle w:val="ListParagraph"/>
        <w:numPr>
          <w:ilvl w:val="0"/>
          <w:numId w:val="3"/>
        </w:numPr>
        <w:rPr>
          <w:rFonts w:ascii="Times New Roman" w:eastAsia="Times New Roman" w:hAnsi="Times New Roman" w:cs="Times New Roman"/>
          <w:b/>
          <w:bCs/>
          <w:color w:val="C00000"/>
          <w:sz w:val="22"/>
          <w:szCs w:val="22"/>
        </w:rPr>
      </w:pPr>
      <w:commentRangeStart w:id="0"/>
      <w:commentRangeStart w:id="1"/>
      <w:r w:rsidRPr="592A5A24">
        <w:rPr>
          <w:rFonts w:ascii="Times New Roman" w:eastAsia="Times New Roman" w:hAnsi="Times New Roman" w:cs="Times New Roman"/>
          <w:b/>
          <w:bCs/>
          <w:color w:val="C00000"/>
          <w:sz w:val="22"/>
          <w:szCs w:val="22"/>
        </w:rPr>
        <w:t>GraphSAGE Edge Software (input kg</w:t>
      </w:r>
      <w:r w:rsidR="00530B2C" w:rsidRPr="592A5A24">
        <w:rPr>
          <w:rFonts w:ascii="Times New Roman" w:eastAsia="Times New Roman" w:hAnsi="Times New Roman" w:cs="Times New Roman"/>
          <w:b/>
          <w:bCs/>
          <w:color w:val="C00000"/>
          <w:sz w:val="22"/>
          <w:szCs w:val="22"/>
        </w:rPr>
        <w:t>;</w:t>
      </w:r>
      <w:r w:rsidRPr="592A5A24">
        <w:rPr>
          <w:rFonts w:ascii="Times New Roman" w:eastAsia="Times New Roman" w:hAnsi="Times New Roman" w:cs="Times New Roman"/>
          <w:b/>
          <w:bCs/>
          <w:color w:val="C00000"/>
          <w:sz w:val="22"/>
          <w:szCs w:val="22"/>
        </w:rPr>
        <w:t xml:space="preserve"> specify qualifier level</w:t>
      </w:r>
      <w:r w:rsidR="001A06B0" w:rsidRPr="592A5A24">
        <w:rPr>
          <w:rFonts w:ascii="Times New Roman" w:eastAsia="Times New Roman" w:hAnsi="Times New Roman" w:cs="Times New Roman"/>
          <w:b/>
          <w:bCs/>
          <w:color w:val="C00000"/>
          <w:sz w:val="22"/>
          <w:szCs w:val="22"/>
        </w:rPr>
        <w:t xml:space="preserve"> as “all</w:t>
      </w:r>
      <w:r w:rsidR="0070688E" w:rsidRPr="592A5A24">
        <w:rPr>
          <w:rFonts w:ascii="Times New Roman" w:eastAsia="Times New Roman" w:hAnsi="Times New Roman" w:cs="Times New Roman"/>
          <w:b/>
          <w:bCs/>
          <w:color w:val="C00000"/>
          <w:sz w:val="22"/>
          <w:szCs w:val="22"/>
        </w:rPr>
        <w:t>-edge</w:t>
      </w:r>
      <w:r w:rsidR="001A06B0" w:rsidRPr="592A5A24">
        <w:rPr>
          <w:rFonts w:ascii="Times New Roman" w:eastAsia="Times New Roman" w:hAnsi="Times New Roman" w:cs="Times New Roman"/>
          <w:b/>
          <w:bCs/>
          <w:color w:val="C00000"/>
          <w:sz w:val="22"/>
          <w:szCs w:val="22"/>
        </w:rPr>
        <w:t>”</w:t>
      </w:r>
      <w:r w:rsidR="0070688E" w:rsidRPr="592A5A24">
        <w:rPr>
          <w:rFonts w:ascii="Times New Roman" w:eastAsia="Times New Roman" w:hAnsi="Times New Roman" w:cs="Times New Roman"/>
          <w:b/>
          <w:bCs/>
          <w:color w:val="C00000"/>
          <w:sz w:val="22"/>
          <w:szCs w:val="22"/>
        </w:rPr>
        <w:t>, “all-node”,</w:t>
      </w:r>
      <w:r w:rsidR="001A06B0" w:rsidRPr="592A5A24">
        <w:rPr>
          <w:rFonts w:ascii="Times New Roman" w:eastAsia="Times New Roman" w:hAnsi="Times New Roman" w:cs="Times New Roman"/>
          <w:b/>
          <w:bCs/>
          <w:color w:val="C00000"/>
          <w:sz w:val="22"/>
          <w:szCs w:val="22"/>
        </w:rPr>
        <w:t xml:space="preserve"> “n</w:t>
      </w:r>
      <w:r w:rsidR="0070688E" w:rsidRPr="592A5A24">
        <w:rPr>
          <w:rFonts w:ascii="Times New Roman" w:eastAsia="Times New Roman" w:hAnsi="Times New Roman" w:cs="Times New Roman"/>
          <w:b/>
          <w:bCs/>
          <w:color w:val="C00000"/>
          <w:sz w:val="22"/>
          <w:szCs w:val="22"/>
        </w:rPr>
        <w:t>ame</w:t>
      </w:r>
      <w:r w:rsidR="001A06B0" w:rsidRPr="592A5A24">
        <w:rPr>
          <w:rFonts w:ascii="Times New Roman" w:eastAsia="Times New Roman" w:hAnsi="Times New Roman" w:cs="Times New Roman"/>
          <w:b/>
          <w:bCs/>
          <w:color w:val="C00000"/>
          <w:sz w:val="22"/>
          <w:szCs w:val="22"/>
        </w:rPr>
        <w:t>” or list[feature] to use as inputs</w:t>
      </w:r>
      <w:r w:rsidR="00530B2C" w:rsidRPr="592A5A24">
        <w:rPr>
          <w:rFonts w:ascii="Times New Roman" w:eastAsia="Times New Roman" w:hAnsi="Times New Roman" w:cs="Times New Roman"/>
          <w:b/>
          <w:bCs/>
          <w:color w:val="C00000"/>
          <w:sz w:val="22"/>
          <w:szCs w:val="22"/>
        </w:rPr>
        <w:t>; select loss function;</w:t>
      </w:r>
      <w:r w:rsidR="001A06B0" w:rsidRPr="592A5A24">
        <w:rPr>
          <w:rFonts w:ascii="Times New Roman" w:eastAsia="Times New Roman" w:hAnsi="Times New Roman" w:cs="Times New Roman"/>
          <w:b/>
          <w:bCs/>
          <w:color w:val="C00000"/>
          <w:sz w:val="22"/>
          <w:szCs w:val="22"/>
        </w:rPr>
        <w:t xml:space="preserve">) -&gt; </w:t>
      </w:r>
      <w:commentRangeEnd w:id="0"/>
      <w:r w:rsidR="0070688E" w:rsidRPr="592A5A24">
        <w:rPr>
          <w:rStyle w:val="CommentReference"/>
          <w:rFonts w:ascii="Times New Roman" w:eastAsia="Times New Roman" w:hAnsi="Times New Roman" w:cs="Times New Roman"/>
          <w:b/>
          <w:bCs/>
          <w:color w:val="C00000"/>
          <w:sz w:val="22"/>
          <w:szCs w:val="22"/>
        </w:rPr>
        <w:commentReference w:id="0"/>
      </w:r>
      <w:commentRangeEnd w:id="1"/>
      <w:r w:rsidRPr="592A5A24">
        <w:rPr>
          <w:rStyle w:val="CommentReference"/>
          <w:rFonts w:ascii="Times New Roman" w:eastAsia="Times New Roman" w:hAnsi="Times New Roman" w:cs="Times New Roman"/>
          <w:b/>
          <w:bCs/>
          <w:color w:val="C00000"/>
          <w:sz w:val="22"/>
          <w:szCs w:val="22"/>
        </w:rPr>
        <w:commentReference w:id="1"/>
      </w:r>
      <w:r w:rsidR="0070688E" w:rsidRPr="592A5A24">
        <w:rPr>
          <w:rFonts w:ascii="Times New Roman" w:eastAsia="Times New Roman" w:hAnsi="Times New Roman" w:cs="Times New Roman"/>
          <w:b/>
          <w:bCs/>
          <w:color w:val="C00000"/>
          <w:sz w:val="22"/>
          <w:szCs w:val="22"/>
        </w:rPr>
        <w:t>dict</w:t>
      </w:r>
      <w:r w:rsidR="008B57C0" w:rsidRPr="592A5A24">
        <w:rPr>
          <w:rFonts w:ascii="Times New Roman" w:eastAsia="Times New Roman" w:hAnsi="Times New Roman" w:cs="Times New Roman"/>
          <w:b/>
          <w:bCs/>
          <w:color w:val="C00000"/>
          <w:sz w:val="22"/>
          <w:szCs w:val="22"/>
        </w:rPr>
        <w:t>{ID -&gt; vector mappings}</w:t>
      </w:r>
    </w:p>
    <w:p w14:paraId="5B807438" w14:textId="4B78AD82" w:rsidR="001A06B0" w:rsidRDefault="00686A41" w:rsidP="0011745B">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Benchmarkin</w:t>
      </w:r>
      <w:r w:rsidR="00E031E5" w:rsidRPr="592A5A24">
        <w:rPr>
          <w:rFonts w:ascii="Times New Roman" w:eastAsia="Times New Roman" w:hAnsi="Times New Roman" w:cs="Times New Roman"/>
          <w:b/>
          <w:bCs/>
          <w:color w:val="C00000"/>
          <w:sz w:val="22"/>
          <w:szCs w:val="22"/>
        </w:rPr>
        <w:t>g:</w:t>
      </w:r>
    </w:p>
    <w:p w14:paraId="3AEF1D4B" w14:textId="2267EA03" w:rsidR="00C150C8" w:rsidRPr="00645589" w:rsidRDefault="00C150C8" w:rsidP="00645589">
      <w:pPr>
        <w:pStyle w:val="ListParagraph"/>
        <w:numPr>
          <w:ilvl w:val="1"/>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Other Graph Methods</w:t>
      </w:r>
    </w:p>
    <w:p w14:paraId="09BCE15E" w14:textId="07D19590" w:rsidR="00C150C8" w:rsidRDefault="00C150C8" w:rsidP="00C150C8">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Node2Vec</w:t>
      </w:r>
    </w:p>
    <w:p w14:paraId="15DD68E3" w14:textId="039FE2D5" w:rsidR="00C150C8" w:rsidRDefault="00C150C8" w:rsidP="00C150C8">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GCN</w:t>
      </w:r>
    </w:p>
    <w:p w14:paraId="413113E8" w14:textId="1F507FB4" w:rsidR="00AB334E" w:rsidRDefault="00D46BE3" w:rsidP="00AB334E">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 xml:space="preserve">GraphSAGE regular version </w:t>
      </w:r>
      <w:r w:rsidR="56A43503" w:rsidRPr="592A5A24">
        <w:rPr>
          <w:rFonts w:ascii="Times New Roman" w:eastAsia="Times New Roman" w:hAnsi="Times New Roman" w:cs="Times New Roman"/>
          <w:b/>
          <w:bCs/>
          <w:color w:val="C00000"/>
          <w:sz w:val="22"/>
          <w:szCs w:val="22"/>
        </w:rPr>
        <w:t>unsuervised</w:t>
      </w:r>
    </w:p>
    <w:p w14:paraId="7A4FD7D8" w14:textId="5CFC862C" w:rsidR="00AB334E" w:rsidRDefault="00372D71" w:rsidP="00372D71">
      <w:pPr>
        <w:pStyle w:val="ListParagraph"/>
        <w:numPr>
          <w:ilvl w:val="1"/>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 xml:space="preserve">Supervised / integrated representation + </w:t>
      </w:r>
      <w:r w:rsidR="00645589" w:rsidRPr="592A5A24">
        <w:rPr>
          <w:rFonts w:ascii="Times New Roman" w:eastAsia="Times New Roman" w:hAnsi="Times New Roman" w:cs="Times New Roman"/>
          <w:b/>
          <w:bCs/>
          <w:color w:val="C00000"/>
          <w:sz w:val="22"/>
          <w:szCs w:val="22"/>
        </w:rPr>
        <w:t>ML</w:t>
      </w:r>
    </w:p>
    <w:p w14:paraId="423530CB" w14:textId="7FD0CE7A" w:rsidR="00645589" w:rsidRPr="00AB334E" w:rsidRDefault="00645589" w:rsidP="592A5A24">
      <w:pPr>
        <w:ind w:left="1440"/>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HGT</w:t>
      </w:r>
    </w:p>
    <w:p w14:paraId="5B62D8FA" w14:textId="2C7010DA" w:rsidR="00612B92" w:rsidRDefault="00612B92" w:rsidP="00612B92">
      <w:pPr>
        <w:pStyle w:val="ListParagraph"/>
        <w:numPr>
          <w:ilvl w:val="1"/>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Datasets</w:t>
      </w:r>
    </w:p>
    <w:p w14:paraId="30B3DF07" w14:textId="5B022B96" w:rsidR="00E031E5" w:rsidRDefault="00E031E5" w:rsidP="00612B92">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 xml:space="preserve">Some standard dataset with </w:t>
      </w:r>
      <w:r w:rsidR="00612B92" w:rsidRPr="592A5A24">
        <w:rPr>
          <w:rFonts w:ascii="Times New Roman" w:eastAsia="Times New Roman" w:hAnsi="Times New Roman" w:cs="Times New Roman"/>
          <w:b/>
          <w:bCs/>
          <w:color w:val="C00000"/>
          <w:sz w:val="22"/>
          <w:szCs w:val="22"/>
        </w:rPr>
        <w:t>multiple relation types</w:t>
      </w:r>
      <w:r w:rsidRPr="592A5A24">
        <w:rPr>
          <w:rFonts w:ascii="Times New Roman" w:eastAsia="Times New Roman" w:hAnsi="Times New Roman" w:cs="Times New Roman"/>
          <w:b/>
          <w:bCs/>
          <w:color w:val="C00000"/>
          <w:sz w:val="22"/>
          <w:szCs w:val="22"/>
        </w:rPr>
        <w:t xml:space="preserve"> like FB15</w:t>
      </w:r>
      <w:r w:rsidR="00612B92" w:rsidRPr="592A5A24">
        <w:rPr>
          <w:rFonts w:ascii="Times New Roman" w:eastAsia="Times New Roman" w:hAnsi="Times New Roman" w:cs="Times New Roman"/>
          <w:b/>
          <w:bCs/>
          <w:color w:val="C00000"/>
          <w:sz w:val="22"/>
          <w:szCs w:val="22"/>
        </w:rPr>
        <w:t>k-237</w:t>
      </w:r>
    </w:p>
    <w:p w14:paraId="18DEABC6" w14:textId="3819E859" w:rsidR="00612B92" w:rsidRDefault="00F444EF" w:rsidP="00612B92">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Drug discovery specific dataset like PrimeKG</w:t>
      </w:r>
    </w:p>
    <w:p w14:paraId="5BC533ED" w14:textId="3A31BCA4" w:rsidR="00612B92" w:rsidRDefault="00F444EF" w:rsidP="00E031E5">
      <w:pPr>
        <w:pStyle w:val="ListParagraph"/>
        <w:numPr>
          <w:ilvl w:val="1"/>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Benchmark Performance</w:t>
      </w:r>
    </w:p>
    <w:p w14:paraId="2F6C15B2" w14:textId="74A88BAF" w:rsidR="00F444EF" w:rsidRDefault="00F444EF" w:rsidP="00F444EF">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Graph Completion (withhold edges and predict)</w:t>
      </w:r>
    </w:p>
    <w:p w14:paraId="3240183F" w14:textId="037F919D" w:rsidR="00872EDD" w:rsidRDefault="00872EDD" w:rsidP="592A5A24">
      <w:pPr>
        <w:pStyle w:val="ListParagraph"/>
        <w:numPr>
          <w:ilvl w:val="3"/>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 xml:space="preserve">Look at what GraphSAGE did and what HGT did etc; compare to these methods directly, make sure we have small and large datasets and optimize </w:t>
      </w:r>
      <w:r w:rsidR="4B88D8EC" w:rsidRPr="592A5A24">
        <w:rPr>
          <w:rFonts w:ascii="Times New Roman" w:eastAsia="Times New Roman" w:hAnsi="Times New Roman" w:cs="Times New Roman"/>
          <w:b/>
          <w:bCs/>
          <w:color w:val="C00000"/>
          <w:sz w:val="22"/>
          <w:szCs w:val="22"/>
        </w:rPr>
        <w:t>hyperpara</w:t>
      </w:r>
    </w:p>
    <w:p w14:paraId="74020A96" w14:textId="003E4D13" w:rsidR="00872EDD" w:rsidRDefault="4B88D8EC" w:rsidP="00872EDD">
      <w:pPr>
        <w:pStyle w:val="ListParagraph"/>
        <w:numPr>
          <w:ilvl w:val="3"/>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meters</w:t>
      </w:r>
      <w:r w:rsidR="00872EDD" w:rsidRPr="592A5A24">
        <w:rPr>
          <w:rFonts w:ascii="Times New Roman" w:eastAsia="Times New Roman" w:hAnsi="Times New Roman" w:cs="Times New Roman"/>
          <w:b/>
          <w:bCs/>
          <w:color w:val="C00000"/>
          <w:sz w:val="22"/>
          <w:szCs w:val="22"/>
        </w:rPr>
        <w:t xml:space="preserve"> using optuna or similar</w:t>
      </w:r>
    </w:p>
    <w:p w14:paraId="2517F4CF" w14:textId="0CEC1698" w:rsidR="00D5580F" w:rsidRDefault="00D5580F" w:rsidP="00872EDD">
      <w:pPr>
        <w:pStyle w:val="ListParagraph"/>
        <w:numPr>
          <w:ilvl w:val="3"/>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Node-split evaluation against GraphSAGE &amp; HGT etc.</w:t>
      </w:r>
    </w:p>
    <w:p w14:paraId="1A1AAFCD" w14:textId="77777777" w:rsidR="00D5580F" w:rsidRDefault="00D5580F" w:rsidP="00D5580F">
      <w:pPr>
        <w:pStyle w:val="ListParagraph"/>
        <w:ind w:left="2880"/>
        <w:rPr>
          <w:rFonts w:ascii="Times New Roman" w:eastAsia="Times New Roman" w:hAnsi="Times New Roman" w:cs="Times New Roman"/>
          <w:b/>
          <w:bCs/>
          <w:color w:val="C00000"/>
          <w:sz w:val="22"/>
          <w:szCs w:val="22"/>
        </w:rPr>
      </w:pPr>
    </w:p>
    <w:p w14:paraId="045EF84B" w14:textId="76679848" w:rsidR="00F444EF" w:rsidRPr="0011745B" w:rsidRDefault="004A507A" w:rsidP="00F444EF">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MATRIX-style predictions?</w:t>
      </w:r>
    </w:p>
    <w:p w14:paraId="1534C106" w14:textId="379CE445"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Discussion &amp; Conclusion</w:t>
      </w:r>
    </w:p>
    <w:p w14:paraId="7558EC26" w14:textId="029D3C91" w:rsidR="004A507A" w:rsidRDefault="00AF6108" w:rsidP="00AF6108">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Simple, low-cost method that improves performance</w:t>
      </w:r>
    </w:p>
    <w:p w14:paraId="792A4188" w14:textId="7BE6A8BC" w:rsidR="00AF6108" w:rsidRDefault="00AF6108" w:rsidP="00AF6108">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Flexibility to further contextualize with words around the edge like “edge in a biomedical knowledge graph with the following properties: […]”.</w:t>
      </w:r>
    </w:p>
    <w:p w14:paraId="7E3AD5A1" w14:textId="77777777" w:rsidR="00AF6108" w:rsidRPr="00AF6108" w:rsidRDefault="00AF6108" w:rsidP="00AF6108">
      <w:pPr>
        <w:pStyle w:val="ListParagraph"/>
        <w:numPr>
          <w:ilvl w:val="0"/>
          <w:numId w:val="3"/>
        </w:numPr>
        <w:rPr>
          <w:rFonts w:ascii="Times New Roman" w:eastAsia="Times New Roman" w:hAnsi="Times New Roman" w:cs="Times New Roman"/>
          <w:b/>
          <w:bCs/>
          <w:color w:val="C00000"/>
          <w:sz w:val="22"/>
          <w:szCs w:val="22"/>
        </w:rPr>
      </w:pPr>
    </w:p>
    <w:p w14:paraId="7D19D724" w14:textId="3E30B7C0"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Methods</w:t>
      </w:r>
    </w:p>
    <w:p w14:paraId="79E693A8" w14:textId="26A18B45"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References</w:t>
      </w:r>
    </w:p>
    <w:p w14:paraId="2A7F1D4F" w14:textId="64B5A2F1" w:rsidR="00406571" w:rsidRP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Supplemental Information</w:t>
      </w:r>
    </w:p>
    <w:p w14:paraId="18C63DE8" w14:textId="77777777" w:rsidR="00406571" w:rsidRDefault="00406571" w:rsidP="00DF7134">
      <w:pPr>
        <w:rPr>
          <w:rFonts w:ascii="Times New Roman" w:eastAsia="Times New Roman" w:hAnsi="Times New Roman" w:cs="Times New Roman"/>
          <w:sz w:val="22"/>
          <w:szCs w:val="22"/>
        </w:rPr>
      </w:pPr>
    </w:p>
    <w:p w14:paraId="59761C00" w14:textId="77777777" w:rsidR="00406571" w:rsidRDefault="00406571" w:rsidP="00DF7134">
      <w:pPr>
        <w:rPr>
          <w:rFonts w:ascii="Times New Roman" w:eastAsia="Times New Roman" w:hAnsi="Times New Roman" w:cs="Times New Roman"/>
          <w:sz w:val="22"/>
          <w:szCs w:val="22"/>
        </w:rPr>
      </w:pPr>
    </w:p>
    <w:p w14:paraId="44F800A3" w14:textId="36C2BA5B" w:rsidR="002022FD" w:rsidRPr="00DF7134" w:rsidRDefault="00DF7134" w:rsidP="00D136D8">
      <w:pPr>
        <w:jc w:val="both"/>
        <w:rPr>
          <w:rFonts w:ascii="Times New Roman" w:eastAsia="Times New Roman" w:hAnsi="Times New Roman" w:cs="Times New Roman"/>
          <w:sz w:val="22"/>
          <w:szCs w:val="22"/>
        </w:rPr>
      </w:pPr>
      <w:r w:rsidRPr="1E1BDB4F">
        <w:rPr>
          <w:rFonts w:ascii="Times New Roman" w:eastAsia="Times New Roman" w:hAnsi="Times New Roman" w:cs="Times New Roman"/>
          <w:b/>
          <w:bCs/>
          <w:sz w:val="22"/>
          <w:szCs w:val="22"/>
        </w:rPr>
        <w:t>Abstract.</w:t>
      </w:r>
      <w:r w:rsidRPr="1E1BDB4F">
        <w:rPr>
          <w:rFonts w:ascii="Times New Roman" w:eastAsia="Times New Roman" w:hAnsi="Times New Roman" w:cs="Times New Roman"/>
          <w:sz w:val="22"/>
          <w:szCs w:val="22"/>
        </w:rPr>
        <w:t xml:space="preserve"> Graph representation learning forms the bedrock of much of the world’s economy, but most methods lack </w:t>
      </w:r>
      <w:r w:rsidR="00D136D8" w:rsidRPr="1E1BDB4F">
        <w:rPr>
          <w:rFonts w:ascii="Times New Roman" w:eastAsia="Times New Roman" w:hAnsi="Times New Roman" w:cs="Times New Roman"/>
          <w:sz w:val="22"/>
          <w:szCs w:val="22"/>
        </w:rPr>
        <w:t>rich</w:t>
      </w:r>
      <w:r w:rsidRPr="1E1BDB4F">
        <w:rPr>
          <w:rFonts w:ascii="Times New Roman" w:eastAsia="Times New Roman" w:hAnsi="Times New Roman" w:cs="Times New Roman"/>
          <w:sz w:val="22"/>
          <w:szCs w:val="22"/>
        </w:rPr>
        <w:t xml:space="preserve"> representations of edges d their qualifiers</w:t>
      </w:r>
      <w:r w:rsidR="002022FD" w:rsidRPr="1E1BDB4F">
        <w:rPr>
          <w:rFonts w:ascii="Times New Roman" w:eastAsia="Times New Roman" w:hAnsi="Times New Roman" w:cs="Times New Roman"/>
          <w:sz w:val="22"/>
          <w:szCs w:val="22"/>
        </w:rPr>
        <w:t xml:space="preserve"> which could be used to improve performance</w:t>
      </w:r>
      <w:r w:rsidRPr="1E1BDB4F">
        <w:rPr>
          <w:rFonts w:ascii="Times New Roman" w:eastAsia="Times New Roman" w:hAnsi="Times New Roman" w:cs="Times New Roman"/>
          <w:sz w:val="22"/>
          <w:szCs w:val="22"/>
        </w:rPr>
        <w:t xml:space="preserve">. Existing methods must learn a new set of parameters for each edge type, a constraint which is restrictive for graphs with many edge types, dilutes learning, and often </w:t>
      </w:r>
      <w:r w:rsidR="00D136D8" w:rsidRPr="1E1BDB4F">
        <w:rPr>
          <w:rFonts w:ascii="Times New Roman" w:eastAsia="Times New Roman" w:hAnsi="Times New Roman" w:cs="Times New Roman"/>
          <w:sz w:val="22"/>
          <w:szCs w:val="22"/>
        </w:rPr>
        <w:t>does not learn</w:t>
      </w:r>
      <w:r w:rsidRPr="1E1BDB4F">
        <w:rPr>
          <w:rFonts w:ascii="Times New Roman" w:eastAsia="Times New Roman" w:hAnsi="Times New Roman" w:cs="Times New Roman"/>
          <w:sz w:val="22"/>
          <w:szCs w:val="22"/>
        </w:rPr>
        <w:t xml:space="preserve"> differential edge meanings between related edge types. We introduce GraphSAGE-edge, a message passing machine learning method which injects lexical semantics of edge context </w:t>
      </w:r>
      <w:r w:rsidR="002022FD" w:rsidRPr="1E1BDB4F">
        <w:rPr>
          <w:rFonts w:ascii="Times New Roman" w:eastAsia="Times New Roman" w:hAnsi="Times New Roman" w:cs="Times New Roman"/>
          <w:sz w:val="22"/>
          <w:szCs w:val="22"/>
        </w:rPr>
        <w:t>into</w:t>
      </w:r>
      <w:r w:rsidRPr="1E1BDB4F">
        <w:rPr>
          <w:rFonts w:ascii="Times New Roman" w:eastAsia="Times New Roman" w:hAnsi="Times New Roman" w:cs="Times New Roman"/>
          <w:sz w:val="22"/>
          <w:szCs w:val="22"/>
        </w:rPr>
        <w:t xml:space="preserve"> the GraphSAGE paradigm. </w:t>
      </w:r>
      <w:r w:rsidR="00124C68" w:rsidRPr="1E1BDB4F">
        <w:rPr>
          <w:rFonts w:ascii="Times New Roman" w:eastAsia="Times New Roman" w:hAnsi="Times New Roman" w:cs="Times New Roman"/>
          <w:sz w:val="22"/>
          <w:szCs w:val="22"/>
        </w:rPr>
        <w:t xml:space="preserve">GraphSAGE-edge adds rich edge context and the meaning of interrelated edges </w:t>
      </w:r>
      <w:r w:rsidR="00D136D8" w:rsidRPr="1E1BDB4F">
        <w:rPr>
          <w:rFonts w:ascii="Times New Roman" w:eastAsia="Times New Roman" w:hAnsi="Times New Roman" w:cs="Times New Roman"/>
          <w:sz w:val="22"/>
          <w:szCs w:val="22"/>
        </w:rPr>
        <w:t xml:space="preserve">via LLM inference of the edge and qualifiers at the cost of a single LLM call </w:t>
      </w:r>
      <w:r w:rsidR="002022FD" w:rsidRPr="1E1BDB4F">
        <w:rPr>
          <w:rFonts w:ascii="Times New Roman" w:eastAsia="Times New Roman" w:hAnsi="Times New Roman" w:cs="Times New Roman"/>
          <w:sz w:val="22"/>
          <w:szCs w:val="22"/>
        </w:rPr>
        <w:t xml:space="preserve">per edge type. Performance improves significantly across all graph types and learning tasks, achieving SoTA in </w:t>
      </w:r>
      <w:r w:rsidR="002022FD" w:rsidRPr="1E1BDB4F">
        <w:rPr>
          <w:rFonts w:ascii="Times New Roman" w:eastAsia="Times New Roman" w:hAnsi="Times New Roman" w:cs="Times New Roman"/>
          <w:sz w:val="22"/>
          <w:szCs w:val="22"/>
          <w:highlight w:val="yellow"/>
        </w:rPr>
        <w:t>XXX</w:t>
      </w:r>
      <w:r w:rsidR="002022FD" w:rsidRPr="1E1BDB4F">
        <w:rPr>
          <w:rFonts w:ascii="Times New Roman" w:eastAsia="Times New Roman" w:hAnsi="Times New Roman" w:cs="Times New Roman"/>
          <w:sz w:val="22"/>
          <w:szCs w:val="22"/>
        </w:rPr>
        <w:t xml:space="preserve">. It can be dropped directly into any system currently using graph representations for downstream ML tasks. GraphSAGE-edge is offered as an open-source package and free LLM credit allocations (e.g., Google Gemini free tier) </w:t>
      </w:r>
      <w:r w:rsidR="00B370F8" w:rsidRPr="1E1BDB4F">
        <w:rPr>
          <w:rFonts w:ascii="Times New Roman" w:eastAsia="Times New Roman" w:hAnsi="Times New Roman" w:cs="Times New Roman"/>
          <w:sz w:val="22"/>
          <w:szCs w:val="22"/>
        </w:rPr>
        <w:t xml:space="preserve">are </w:t>
      </w:r>
      <w:r w:rsidR="002022FD" w:rsidRPr="1E1BDB4F">
        <w:rPr>
          <w:rFonts w:ascii="Times New Roman" w:eastAsia="Times New Roman" w:hAnsi="Times New Roman" w:cs="Times New Roman"/>
          <w:sz w:val="22"/>
          <w:szCs w:val="22"/>
        </w:rPr>
        <w:t xml:space="preserve">sufficient to implement the full method. </w:t>
      </w:r>
    </w:p>
    <w:p w14:paraId="0EDB24E3" w14:textId="77777777" w:rsidR="00DF7134" w:rsidRDefault="00DF7134" w:rsidP="00DF7134">
      <w:pPr>
        <w:rPr>
          <w:rFonts w:ascii="Times New Roman" w:eastAsia="Times New Roman" w:hAnsi="Times New Roman" w:cs="Times New Roman"/>
          <w:sz w:val="22"/>
          <w:szCs w:val="22"/>
        </w:rPr>
      </w:pPr>
    </w:p>
    <w:p w14:paraId="3B1EC0E7" w14:textId="50782E6C" w:rsidR="00DF7134" w:rsidRDefault="00DF7134" w:rsidP="00B370F8">
      <w:pPr>
        <w:jc w:val="both"/>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Introduction.</w:t>
      </w:r>
      <w:r w:rsidR="00B370F8" w:rsidRPr="592A5A24">
        <w:rPr>
          <w:rFonts w:ascii="Times New Roman" w:eastAsia="Times New Roman" w:hAnsi="Times New Roman" w:cs="Times New Roman"/>
          <w:sz w:val="22"/>
          <w:szCs w:val="22"/>
        </w:rPr>
        <w:t xml:space="preserve"> Graph representation learning has been applied broadly across advertising and marketing, drug discovery, social networks, and more. More often than not, methods considering only graph topology (e.g., Node2Vec, GraphSAGE) are used to featurize nodes for downstream ML. Methods which do use edges often apply simple scalar weights to each edge type, and methods which fully use edge context usually require that a large set of weights is learned for each edge type (e.g., ConvE, TransE, RotatE, H</w:t>
      </w:r>
      <w:r w:rsidR="008C49C8" w:rsidRPr="592A5A24">
        <w:rPr>
          <w:rFonts w:ascii="Times New Roman" w:eastAsia="Times New Roman" w:hAnsi="Times New Roman" w:cs="Times New Roman"/>
          <w:sz w:val="22"/>
          <w:szCs w:val="22"/>
        </w:rPr>
        <w:t>eterogeneous Graph transformers (HGTs)</w:t>
      </w:r>
      <w:r w:rsidR="00B370F8" w:rsidRPr="592A5A24">
        <w:rPr>
          <w:rFonts w:ascii="Times New Roman" w:eastAsia="Times New Roman" w:hAnsi="Times New Roman" w:cs="Times New Roman"/>
          <w:sz w:val="22"/>
          <w:szCs w:val="22"/>
        </w:rPr>
        <w:t>). This means that for graphs with hundreds of edge types, datacenter-scale resources are required for effective weight learning. Furthermore, each qualifier (edge property) added to the edge combinatorically increases the number of edges and dilutes learning. Lastly, methods like HGT are data-hungry, and many applications will never contain sufficient training data to train an effective HGT with many edge types. For example, in drug repurposing, only on the order of 10,000 therapeutic indications exist, and new ones are discovered at a rate of only a few per year.</w:t>
      </w:r>
    </w:p>
    <w:p w14:paraId="739898FF" w14:textId="6D647CB0" w:rsidR="00B370F8" w:rsidRDefault="00B370F8" w:rsidP="00B370F8">
      <w:pPr>
        <w:jc w:val="both"/>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It </w:t>
      </w:r>
      <w:r w:rsidR="008C49C8" w:rsidRPr="592A5A24">
        <w:rPr>
          <w:rFonts w:ascii="Times New Roman" w:eastAsia="Times New Roman" w:hAnsi="Times New Roman" w:cs="Times New Roman"/>
          <w:sz w:val="22"/>
          <w:szCs w:val="22"/>
        </w:rPr>
        <w:t>thus appears that there is a need for graph-based ML methods which add value using edges at significantly lower cost relative to expensive per-edge weight learning and which are usable in models that perform better on smaller datasets like vanilla multilayer perceptron (MLP) or RF/ XGBoost methods.</w:t>
      </w:r>
    </w:p>
    <w:p w14:paraId="55B186D5" w14:textId="77777777" w:rsidR="008C49C8" w:rsidRDefault="008C49C8" w:rsidP="00B370F8">
      <w:pPr>
        <w:jc w:val="both"/>
        <w:rPr>
          <w:rFonts w:ascii="Times New Roman" w:eastAsia="Times New Roman" w:hAnsi="Times New Roman" w:cs="Times New Roman"/>
          <w:sz w:val="22"/>
          <w:szCs w:val="22"/>
        </w:rPr>
      </w:pPr>
    </w:p>
    <w:p w14:paraId="0CD68852" w14:textId="3897D848" w:rsidR="008C49C8" w:rsidRDefault="008C49C8" w:rsidP="00B370F8">
      <w:pPr>
        <w:jc w:val="both"/>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The advancement of large language models (LLMs), which learn lexical semantic meaning from large corpuses of text, means that it is now trivial to convert the lexical semantic meaning of a word or passage into a feature vector using a simple API call. </w:t>
      </w:r>
      <w:r w:rsidR="00406571" w:rsidRPr="592A5A24">
        <w:rPr>
          <w:rFonts w:ascii="Times New Roman" w:eastAsia="Times New Roman" w:hAnsi="Times New Roman" w:cs="Times New Roman"/>
          <w:sz w:val="22"/>
          <w:szCs w:val="22"/>
        </w:rPr>
        <w:t xml:space="preserve">To the best of our knowledge, these have not been used to add low-cost context to </w:t>
      </w:r>
    </w:p>
    <w:p w14:paraId="0CA6A176" w14:textId="77777777" w:rsidR="008C49C8" w:rsidRDefault="008C49C8" w:rsidP="00B370F8">
      <w:pPr>
        <w:jc w:val="both"/>
        <w:rPr>
          <w:rFonts w:ascii="Times New Roman" w:eastAsia="Times New Roman" w:hAnsi="Times New Roman" w:cs="Times New Roman"/>
          <w:sz w:val="22"/>
          <w:szCs w:val="22"/>
        </w:rPr>
      </w:pPr>
    </w:p>
    <w:p w14:paraId="74903E5D" w14:textId="7CADD039" w:rsidR="008C49C8" w:rsidRPr="00B370F8" w:rsidRDefault="008C49C8" w:rsidP="00B370F8">
      <w:pPr>
        <w:jc w:val="both"/>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GraphSAGE is uniquely well-suited to this since</w:t>
      </w:r>
    </w:p>
    <w:p w14:paraId="3AFB8247" w14:textId="77777777" w:rsidR="00DF7134" w:rsidRDefault="00DF7134" w:rsidP="00DF7134">
      <w:pPr>
        <w:rPr>
          <w:rFonts w:ascii="Times New Roman" w:eastAsia="Times New Roman" w:hAnsi="Times New Roman" w:cs="Times New Roman"/>
          <w:sz w:val="22"/>
          <w:szCs w:val="22"/>
        </w:rPr>
      </w:pPr>
    </w:p>
    <w:p w14:paraId="435D2D2B" w14:textId="77777777" w:rsidR="00415DB5" w:rsidRDefault="00415DB5" w:rsidP="00DF7134">
      <w:pPr>
        <w:rPr>
          <w:rFonts w:ascii="Times New Roman" w:eastAsia="Times New Roman" w:hAnsi="Times New Roman" w:cs="Times New Roman"/>
          <w:sz w:val="22"/>
          <w:szCs w:val="22"/>
        </w:rPr>
      </w:pPr>
    </w:p>
    <w:p w14:paraId="0E31453A" w14:textId="3CED2EC7" w:rsidR="00415DB5" w:rsidRDefault="00415DB5" w:rsidP="008136D7">
      <w:pPr>
        <w:ind w:left="720" w:right="720"/>
        <w:jc w:val="both"/>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Table 1:</w:t>
      </w:r>
      <w:r w:rsidRPr="592A5A24">
        <w:rPr>
          <w:rFonts w:ascii="Times New Roman" w:eastAsia="Times New Roman" w:hAnsi="Times New Roman" w:cs="Times New Roman"/>
          <w:sz w:val="22"/>
          <w:szCs w:val="22"/>
        </w:rPr>
        <w:t xml:space="preserve"> overview of existing edge-aware methods</w:t>
      </w:r>
    </w:p>
    <w:tbl>
      <w:tblPr>
        <w:tblpPr w:leftFromText="180" w:rightFromText="180" w:vertAnchor="text" w:horzAnchor="margin" w:tblpXSpec="center" w:tblpY="136"/>
        <w:tblW w:w="9990" w:type="dxa"/>
        <w:tblCellMar>
          <w:left w:w="0" w:type="dxa"/>
          <w:right w:w="0" w:type="dxa"/>
        </w:tblCellMar>
        <w:tblLook w:val="0420" w:firstRow="1" w:lastRow="0" w:firstColumn="0" w:lastColumn="0" w:noHBand="0" w:noVBand="1"/>
      </w:tblPr>
      <w:tblGrid>
        <w:gridCol w:w="1487"/>
        <w:gridCol w:w="2030"/>
        <w:gridCol w:w="1899"/>
        <w:gridCol w:w="1623"/>
        <w:gridCol w:w="880"/>
        <w:gridCol w:w="2071"/>
      </w:tblGrid>
      <w:tr w:rsidR="00415DB5" w:rsidRPr="00415DB5" w14:paraId="362A9F2B" w14:textId="77777777" w:rsidTr="592A5A24">
        <w:trPr>
          <w:trHeight w:val="584"/>
        </w:trPr>
        <w:tc>
          <w:tcPr>
            <w:tcW w:w="965"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hemeFill="accent1"/>
            <w:tcMar>
              <w:top w:w="72" w:type="dxa"/>
              <w:left w:w="144" w:type="dxa"/>
              <w:bottom w:w="72" w:type="dxa"/>
              <w:right w:w="144" w:type="dxa"/>
            </w:tcMar>
            <w:hideMark/>
          </w:tcPr>
          <w:p w14:paraId="23DD614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Method</w:t>
            </w:r>
          </w:p>
        </w:tc>
        <w:tc>
          <w:tcPr>
            <w:tcW w:w="2161"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hemeFill="accent1"/>
            <w:tcMar>
              <w:top w:w="72" w:type="dxa"/>
              <w:left w:w="144" w:type="dxa"/>
              <w:bottom w:w="72" w:type="dxa"/>
              <w:right w:w="144" w:type="dxa"/>
            </w:tcMar>
            <w:hideMark/>
          </w:tcPr>
          <w:p w14:paraId="7EE9C040"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Description</w:t>
            </w:r>
          </w:p>
        </w:tc>
        <w:tc>
          <w:tcPr>
            <w:tcW w:w="2044"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hemeFill="accent1"/>
            <w:tcMar>
              <w:top w:w="72" w:type="dxa"/>
              <w:left w:w="144" w:type="dxa"/>
              <w:bottom w:w="72" w:type="dxa"/>
              <w:right w:w="144" w:type="dxa"/>
            </w:tcMar>
            <w:hideMark/>
          </w:tcPr>
          <w:p w14:paraId="688140D2"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Scoring</w:t>
            </w:r>
          </w:p>
        </w:tc>
        <w:tc>
          <w:tcPr>
            <w:tcW w:w="1695"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hemeFill="accent1"/>
            <w:tcMar>
              <w:top w:w="72" w:type="dxa"/>
              <w:left w:w="144" w:type="dxa"/>
              <w:bottom w:w="72" w:type="dxa"/>
              <w:right w:w="144" w:type="dxa"/>
            </w:tcMar>
            <w:hideMark/>
          </w:tcPr>
          <w:p w14:paraId="41A0B5F2"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Citation</w:t>
            </w:r>
          </w:p>
        </w:tc>
        <w:tc>
          <w:tcPr>
            <w:tcW w:w="900"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hemeFill="accent1"/>
            <w:tcMar>
              <w:top w:w="72" w:type="dxa"/>
              <w:left w:w="144" w:type="dxa"/>
              <w:bottom w:w="72" w:type="dxa"/>
              <w:right w:w="144" w:type="dxa"/>
            </w:tcMar>
            <w:hideMark/>
          </w:tcPr>
          <w:p w14:paraId="4D70CFD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Year</w:t>
            </w:r>
          </w:p>
        </w:tc>
        <w:tc>
          <w:tcPr>
            <w:tcW w:w="2225"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hemeFill="accent1"/>
            <w:tcMar>
              <w:top w:w="72" w:type="dxa"/>
              <w:left w:w="144" w:type="dxa"/>
              <w:bottom w:w="72" w:type="dxa"/>
              <w:right w:w="144" w:type="dxa"/>
            </w:tcMar>
            <w:hideMark/>
          </w:tcPr>
          <w:p w14:paraId="7BE25D85"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Limitations</w:t>
            </w:r>
          </w:p>
        </w:tc>
      </w:tr>
      <w:tr w:rsidR="00415DB5" w:rsidRPr="00415DB5" w14:paraId="41F90E96" w14:textId="77777777" w:rsidTr="592A5A24">
        <w:trPr>
          <w:trHeight w:val="584"/>
        </w:trPr>
        <w:tc>
          <w:tcPr>
            <w:tcW w:w="965"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hideMark/>
          </w:tcPr>
          <w:p w14:paraId="1C290506"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TransE</w:t>
            </w:r>
          </w:p>
        </w:tc>
        <w:tc>
          <w:tcPr>
            <w:tcW w:w="2161"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hideMark/>
          </w:tcPr>
          <w:p w14:paraId="6CB266D5"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Relation = translation</w:t>
            </w:r>
          </w:p>
        </w:tc>
        <w:tc>
          <w:tcPr>
            <w:tcW w:w="2044"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hideMark/>
          </w:tcPr>
          <w:p w14:paraId="131FE74D" w14:textId="77777777" w:rsidR="00415DB5" w:rsidRPr="00415DB5" w:rsidRDefault="00415DB5" w:rsidP="592A5A24">
            <w:pPr>
              <w:jc w:val="center"/>
              <w:rPr>
                <w:rFonts w:ascii="Times New Roman" w:eastAsia="Times New Roman" w:hAnsi="Times New Roman" w:cs="Times New Roman"/>
                <w:sz w:val="22"/>
                <w:szCs w:val="22"/>
              </w:rPr>
            </w:pPr>
            <m:oMathPara>
              <m:oMathParaPr>
                <m:jc m:val="centerGroup"/>
              </m:oMathParaPr>
              <m:oMath>
                <m:r>
                  <w:rPr>
                    <w:rFonts w:ascii="Cambria Math" w:hAnsi="Cambria Math" w:cs="Arial"/>
                    <w:sz w:val="22"/>
                    <w:szCs w:val="22"/>
                  </w:rPr>
                  <m:t>-</m:t>
                </m:r>
                <m:d>
                  <m:dPr>
                    <m:begChr m:val="‖"/>
                    <m:endChr m:val="‖"/>
                    <m:ctrlPr>
                      <w:rPr>
                        <w:rFonts w:ascii="Cambria Math" w:hAnsi="Cambria Math" w:cs="Arial"/>
                        <w:i/>
                        <w:iCs/>
                        <w:sz w:val="22"/>
                        <w:szCs w:val="22"/>
                      </w:rPr>
                    </m:ctrlPr>
                  </m:dPr>
                  <m:e>
                    <m:r>
                      <m:rPr>
                        <m:sty m:val="b"/>
                      </m:rPr>
                      <w:rPr>
                        <w:rFonts w:ascii="Cambria Math" w:hAnsi="Cambria Math" w:cs="Arial"/>
                        <w:sz w:val="22"/>
                        <w:szCs w:val="22"/>
                      </w:rPr>
                      <m:t>h+r-t</m:t>
                    </m:r>
                  </m:e>
                </m:d>
              </m:oMath>
            </m:oMathPara>
          </w:p>
        </w:tc>
        <w:tc>
          <w:tcPr>
            <w:tcW w:w="1695"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hideMark/>
          </w:tcPr>
          <w:p w14:paraId="49F93A6E"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Bordes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NeurIPS 2013</w:t>
            </w:r>
          </w:p>
        </w:tc>
        <w:tc>
          <w:tcPr>
            <w:tcW w:w="900"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hideMark/>
          </w:tcPr>
          <w:p w14:paraId="7943766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2013</w:t>
            </w:r>
          </w:p>
        </w:tc>
        <w:tc>
          <w:tcPr>
            <w:tcW w:w="2225"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hideMark/>
          </w:tcPr>
          <w:p w14:paraId="2C227BED"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 xml:space="preserve">No 1-to-N </w:t>
            </w:r>
          </w:p>
        </w:tc>
      </w:tr>
      <w:tr w:rsidR="00415DB5" w:rsidRPr="00415DB5" w14:paraId="79B52966" w14:textId="77777777" w:rsidTr="592A5A24">
        <w:trPr>
          <w:trHeight w:val="584"/>
        </w:trPr>
        <w:tc>
          <w:tcPr>
            <w:tcW w:w="965"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E7EAED"/>
            <w:tcMar>
              <w:top w:w="72" w:type="dxa"/>
              <w:left w:w="144" w:type="dxa"/>
              <w:bottom w:w="72" w:type="dxa"/>
              <w:right w:w="144" w:type="dxa"/>
            </w:tcMar>
            <w:hideMark/>
          </w:tcPr>
          <w:p w14:paraId="0AB16205"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DistMult</w:t>
            </w:r>
          </w:p>
        </w:tc>
        <w:tc>
          <w:tcPr>
            <w:tcW w:w="2161"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E7EAED"/>
            <w:tcMar>
              <w:top w:w="72" w:type="dxa"/>
              <w:left w:w="144" w:type="dxa"/>
              <w:bottom w:w="72" w:type="dxa"/>
              <w:right w:w="144" w:type="dxa"/>
            </w:tcMar>
            <w:hideMark/>
          </w:tcPr>
          <w:p w14:paraId="5209FEE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Score = 3-vector inner product</w:t>
            </w:r>
          </w:p>
        </w:tc>
        <w:tc>
          <w:tcPr>
            <w:tcW w:w="2044"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E7EAED"/>
            <w:tcMar>
              <w:top w:w="72" w:type="dxa"/>
              <w:left w:w="144" w:type="dxa"/>
              <w:bottom w:w="72" w:type="dxa"/>
              <w:right w:w="144" w:type="dxa"/>
            </w:tcMar>
            <w:hideMark/>
          </w:tcPr>
          <w:p w14:paraId="6484E0BF" w14:textId="77777777" w:rsidR="00415DB5" w:rsidRPr="00415DB5" w:rsidRDefault="007E55EE" w:rsidP="592A5A24">
            <w:pPr>
              <w:jc w:val="center"/>
              <w:rPr>
                <w:rFonts w:ascii="Times New Roman" w:eastAsia="Times New Roman" w:hAnsi="Times New Roman" w:cs="Times New Roman"/>
                <w:sz w:val="22"/>
                <w:szCs w:val="22"/>
              </w:rPr>
            </w:pPr>
            <m:oMathPara>
              <m:oMathParaPr>
                <m:jc m:val="centerGroup"/>
              </m:oMathParaPr>
              <m:oMath>
                <m:d>
                  <m:dPr>
                    <m:begChr m:val="⟨"/>
                    <m:endChr m:val="⟩"/>
                    <m:ctrlPr>
                      <w:rPr>
                        <w:rFonts w:ascii="Cambria Math" w:hAnsi="Cambria Math" w:cs="Arial"/>
                        <w:i/>
                        <w:iCs/>
                        <w:sz w:val="22"/>
                        <w:szCs w:val="22"/>
                      </w:rPr>
                    </m:ctrlPr>
                  </m:dPr>
                  <m:e>
                    <m:r>
                      <m:rPr>
                        <m:sty m:val="b"/>
                      </m:rPr>
                      <w:rPr>
                        <w:rFonts w:ascii="Cambria Math" w:hAnsi="Cambria Math" w:cs="Arial"/>
                        <w:sz w:val="22"/>
                        <w:szCs w:val="22"/>
                      </w:rPr>
                      <m:t>h,r,t</m:t>
                    </m:r>
                  </m:e>
                </m:d>
              </m:oMath>
            </m:oMathPara>
          </w:p>
        </w:tc>
        <w:tc>
          <w:tcPr>
            <w:tcW w:w="1695"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E7EAED"/>
            <w:tcMar>
              <w:top w:w="72" w:type="dxa"/>
              <w:left w:w="144" w:type="dxa"/>
              <w:bottom w:w="72" w:type="dxa"/>
              <w:right w:w="144" w:type="dxa"/>
            </w:tcMar>
            <w:hideMark/>
          </w:tcPr>
          <w:p w14:paraId="58AEF0C1"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B Yang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arXiv 2015</w:t>
            </w:r>
          </w:p>
        </w:tc>
        <w:tc>
          <w:tcPr>
            <w:tcW w:w="900"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E7EAED"/>
            <w:tcMar>
              <w:top w:w="72" w:type="dxa"/>
              <w:left w:w="144" w:type="dxa"/>
              <w:bottom w:w="72" w:type="dxa"/>
              <w:right w:w="144" w:type="dxa"/>
            </w:tcMar>
            <w:hideMark/>
          </w:tcPr>
          <w:p w14:paraId="4A56EF22"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2015</w:t>
            </w:r>
          </w:p>
        </w:tc>
        <w:tc>
          <w:tcPr>
            <w:tcW w:w="2225"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E7EAED"/>
            <w:tcMar>
              <w:top w:w="72" w:type="dxa"/>
              <w:left w:w="144" w:type="dxa"/>
              <w:bottom w:w="72" w:type="dxa"/>
              <w:right w:w="144" w:type="dxa"/>
            </w:tcMar>
            <w:hideMark/>
          </w:tcPr>
          <w:p w14:paraId="0420CF16"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No antisymmetric or inverse relations</w:t>
            </w:r>
          </w:p>
        </w:tc>
      </w:tr>
      <w:tr w:rsidR="00415DB5" w:rsidRPr="00415DB5" w14:paraId="70A72A38" w14:textId="77777777" w:rsidTr="592A5A24">
        <w:trPr>
          <w:trHeight w:val="584"/>
        </w:trPr>
        <w:tc>
          <w:tcPr>
            <w:tcW w:w="965" w:type="dxa"/>
            <w:tcBorders>
              <w:top w:val="single" w:sz="8" w:space="0" w:color="000000" w:themeColor="text1"/>
              <w:left w:val="single" w:sz="8" w:space="0" w:color="000000" w:themeColor="text1"/>
              <w:bottom w:val="single" w:sz="8" w:space="0" w:color="000000" w:themeColor="text1"/>
              <w:right w:val="nil"/>
            </w:tcBorders>
            <w:shd w:val="clear" w:color="auto" w:fill="D9F2D0" w:themeFill="accent6" w:themeFillTint="33"/>
            <w:tcMar>
              <w:top w:w="72" w:type="dxa"/>
              <w:left w:w="144" w:type="dxa"/>
              <w:bottom w:w="72" w:type="dxa"/>
              <w:right w:w="144" w:type="dxa"/>
            </w:tcMar>
            <w:hideMark/>
          </w:tcPr>
          <w:p w14:paraId="360226EA"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ComplEx</w:t>
            </w:r>
          </w:p>
        </w:tc>
        <w:tc>
          <w:tcPr>
            <w:tcW w:w="2161" w:type="dxa"/>
            <w:tcBorders>
              <w:top w:val="single" w:sz="8" w:space="0" w:color="000000" w:themeColor="text1"/>
              <w:left w:val="nil"/>
              <w:bottom w:val="single" w:sz="8" w:space="0" w:color="000000" w:themeColor="text1"/>
              <w:right w:val="nil"/>
            </w:tcBorders>
            <w:shd w:val="clear" w:color="auto" w:fill="D9F2D0" w:themeFill="accent6" w:themeFillTint="33"/>
            <w:tcMar>
              <w:top w:w="72" w:type="dxa"/>
              <w:left w:w="144" w:type="dxa"/>
              <w:bottom w:w="72" w:type="dxa"/>
              <w:right w:w="144" w:type="dxa"/>
            </w:tcMar>
            <w:hideMark/>
          </w:tcPr>
          <w:p w14:paraId="0B9BB867"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Score = real component of 3-vector inner product, t = </w:t>
            </w:r>
          </w:p>
        </w:tc>
        <w:tc>
          <w:tcPr>
            <w:tcW w:w="2044" w:type="dxa"/>
            <w:tcBorders>
              <w:top w:val="single" w:sz="8" w:space="0" w:color="000000" w:themeColor="text1"/>
              <w:left w:val="nil"/>
              <w:bottom w:val="single" w:sz="8" w:space="0" w:color="000000" w:themeColor="text1"/>
              <w:right w:val="nil"/>
            </w:tcBorders>
            <w:shd w:val="clear" w:color="auto" w:fill="D9F2D0" w:themeFill="accent6" w:themeFillTint="33"/>
            <w:tcMar>
              <w:top w:w="72" w:type="dxa"/>
              <w:left w:w="144" w:type="dxa"/>
              <w:bottom w:w="72" w:type="dxa"/>
              <w:right w:w="144" w:type="dxa"/>
            </w:tcMar>
            <w:hideMark/>
          </w:tcPr>
          <w:p w14:paraId="6FFDEF47" w14:textId="77777777" w:rsidR="00415DB5" w:rsidRPr="00415DB5" w:rsidRDefault="00415DB5" w:rsidP="592A5A24">
            <w:pPr>
              <w:jc w:val="center"/>
              <w:rPr>
                <w:rFonts w:ascii="Times New Roman" w:eastAsia="Times New Roman" w:hAnsi="Times New Roman" w:cs="Times New Roman"/>
                <w:sz w:val="22"/>
                <w:szCs w:val="22"/>
              </w:rPr>
            </w:pPr>
            <m:oMathPara>
              <m:oMathParaPr>
                <m:jc m:val="centerGroup"/>
              </m:oMathParaPr>
              <m:oMath>
                <m:r>
                  <w:rPr>
                    <w:rFonts w:ascii="Cambria Math" w:hAnsi="Cambria Math" w:cs="Arial"/>
                    <w:sz w:val="22"/>
                    <w:szCs w:val="22"/>
                  </w:rPr>
                  <m:t>Re</m:t>
                </m:r>
                <m:d>
                  <m:dPr>
                    <m:ctrlPr>
                      <w:rPr>
                        <w:rFonts w:ascii="Cambria Math" w:hAnsi="Cambria Math" w:cs="Arial"/>
                        <w:i/>
                        <w:iCs/>
                        <w:sz w:val="22"/>
                        <w:szCs w:val="22"/>
                      </w:rPr>
                    </m:ctrlPr>
                  </m:dPr>
                  <m:e>
                    <m:d>
                      <m:dPr>
                        <m:begChr m:val="⟨"/>
                        <m:endChr m:val="⟩"/>
                        <m:ctrlPr>
                          <w:rPr>
                            <w:rFonts w:ascii="Cambria Math" w:hAnsi="Cambria Math" w:cs="Arial"/>
                            <w:i/>
                            <w:iCs/>
                            <w:sz w:val="22"/>
                            <w:szCs w:val="22"/>
                          </w:rPr>
                        </m:ctrlPr>
                      </m:dPr>
                      <m:e>
                        <m:r>
                          <m:rPr>
                            <m:sty m:val="b"/>
                          </m:rPr>
                          <w:rPr>
                            <w:rFonts w:ascii="Cambria Math" w:hAnsi="Cambria Math" w:cs="Arial"/>
                            <w:sz w:val="22"/>
                            <w:szCs w:val="22"/>
                          </w:rPr>
                          <m:t>h,r,</m:t>
                        </m:r>
                        <m:bar>
                          <m:barPr>
                            <m:pos m:val="top"/>
                            <m:ctrlPr>
                              <w:rPr>
                                <w:rFonts w:ascii="Cambria Math" w:hAnsi="Cambria Math" w:cs="Arial"/>
                                <w:b/>
                                <w:bCs/>
                                <w:i/>
                                <w:iCs/>
                                <w:sz w:val="22"/>
                                <w:szCs w:val="22"/>
                              </w:rPr>
                            </m:ctrlPr>
                          </m:barPr>
                          <m:e>
                            <m:r>
                              <m:rPr>
                                <m:sty m:val="b"/>
                              </m:rPr>
                              <w:rPr>
                                <w:rFonts w:ascii="Cambria Math" w:hAnsi="Cambria Math" w:cs="Arial"/>
                                <w:sz w:val="22"/>
                                <w:szCs w:val="22"/>
                              </w:rPr>
                              <m:t>t</m:t>
                            </m:r>
                          </m:e>
                        </m:bar>
                      </m:e>
                    </m:d>
                  </m:e>
                </m:d>
              </m:oMath>
            </m:oMathPara>
          </w:p>
        </w:tc>
        <w:tc>
          <w:tcPr>
            <w:tcW w:w="1695" w:type="dxa"/>
            <w:tcBorders>
              <w:top w:val="single" w:sz="8" w:space="0" w:color="000000" w:themeColor="text1"/>
              <w:left w:val="nil"/>
              <w:bottom w:val="single" w:sz="8" w:space="0" w:color="000000" w:themeColor="text1"/>
              <w:right w:val="nil"/>
            </w:tcBorders>
            <w:shd w:val="clear" w:color="auto" w:fill="D9F2D0" w:themeFill="accent6" w:themeFillTint="33"/>
            <w:tcMar>
              <w:top w:w="72" w:type="dxa"/>
              <w:left w:w="144" w:type="dxa"/>
              <w:bottom w:w="72" w:type="dxa"/>
              <w:right w:w="144" w:type="dxa"/>
            </w:tcMar>
            <w:hideMark/>
          </w:tcPr>
          <w:p w14:paraId="7BD168E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Trouillon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arXiv 2016</w:t>
            </w:r>
          </w:p>
        </w:tc>
        <w:tc>
          <w:tcPr>
            <w:tcW w:w="900" w:type="dxa"/>
            <w:tcBorders>
              <w:top w:val="single" w:sz="8" w:space="0" w:color="000000" w:themeColor="text1"/>
              <w:left w:val="nil"/>
              <w:bottom w:val="single" w:sz="8" w:space="0" w:color="000000" w:themeColor="text1"/>
              <w:right w:val="nil"/>
            </w:tcBorders>
            <w:shd w:val="clear" w:color="auto" w:fill="D9F2D0" w:themeFill="accent6" w:themeFillTint="33"/>
            <w:tcMar>
              <w:top w:w="72" w:type="dxa"/>
              <w:left w:w="144" w:type="dxa"/>
              <w:bottom w:w="72" w:type="dxa"/>
              <w:right w:w="144" w:type="dxa"/>
            </w:tcMar>
            <w:hideMark/>
          </w:tcPr>
          <w:p w14:paraId="2BB27EB3"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2016</w:t>
            </w:r>
          </w:p>
        </w:tc>
        <w:tc>
          <w:tcPr>
            <w:tcW w:w="2225" w:type="dxa"/>
            <w:tcBorders>
              <w:top w:val="single" w:sz="8" w:space="0" w:color="000000" w:themeColor="text1"/>
              <w:left w:val="nil"/>
              <w:bottom w:val="single" w:sz="8" w:space="0" w:color="000000" w:themeColor="text1"/>
              <w:right w:val="single" w:sz="8" w:space="0" w:color="000000" w:themeColor="text1"/>
            </w:tcBorders>
            <w:shd w:val="clear" w:color="auto" w:fill="D9F2D0" w:themeFill="accent6" w:themeFillTint="33"/>
            <w:tcMar>
              <w:top w:w="72" w:type="dxa"/>
              <w:left w:w="144" w:type="dxa"/>
              <w:bottom w:w="72" w:type="dxa"/>
              <w:right w:w="144" w:type="dxa"/>
            </w:tcMar>
            <w:hideMark/>
          </w:tcPr>
          <w:p w14:paraId="79B35A96"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Has antisymmetry &amp; inverse but </w:t>
            </w:r>
            <w:r w:rsidRPr="592A5A24">
              <w:rPr>
                <w:rFonts w:ascii="Times New Roman" w:eastAsia="Times New Roman" w:hAnsi="Times New Roman" w:cs="Times New Roman"/>
                <w:b/>
                <w:bCs/>
                <w:sz w:val="22"/>
                <w:szCs w:val="22"/>
              </w:rPr>
              <w:t>not compositional</w:t>
            </w:r>
          </w:p>
        </w:tc>
      </w:tr>
      <w:tr w:rsidR="00415DB5" w:rsidRPr="00415DB5" w14:paraId="24D2BE74" w14:textId="77777777" w:rsidTr="592A5A24">
        <w:trPr>
          <w:trHeight w:val="584"/>
        </w:trPr>
        <w:tc>
          <w:tcPr>
            <w:tcW w:w="965"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shd w:val="clear" w:color="auto" w:fill="E7EAED"/>
            <w:tcMar>
              <w:top w:w="72" w:type="dxa"/>
              <w:left w:w="144" w:type="dxa"/>
              <w:bottom w:w="72" w:type="dxa"/>
              <w:right w:w="144" w:type="dxa"/>
            </w:tcMar>
            <w:hideMark/>
          </w:tcPr>
          <w:p w14:paraId="580B9E9A"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R-GCN</w:t>
            </w:r>
          </w:p>
        </w:tc>
        <w:tc>
          <w:tcPr>
            <w:tcW w:w="2161"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shd w:val="clear" w:color="auto" w:fill="E7EAED"/>
            <w:tcMar>
              <w:top w:w="72" w:type="dxa"/>
              <w:left w:w="144" w:type="dxa"/>
              <w:bottom w:w="72" w:type="dxa"/>
              <w:right w:w="144" w:type="dxa"/>
            </w:tcMar>
            <w:hideMark/>
          </w:tcPr>
          <w:p w14:paraId="50D06850"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Relation type specific GCN transformations</w:t>
            </w:r>
          </w:p>
        </w:tc>
        <w:tc>
          <w:tcPr>
            <w:tcW w:w="2044"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shd w:val="clear" w:color="auto" w:fill="E7EAED"/>
            <w:tcMar>
              <w:top w:w="72" w:type="dxa"/>
              <w:left w:w="144" w:type="dxa"/>
              <w:bottom w:w="72" w:type="dxa"/>
              <w:right w:w="144" w:type="dxa"/>
            </w:tcMar>
            <w:hideMark/>
          </w:tcPr>
          <w:p w14:paraId="663EB441"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Encoder layer, </w:t>
            </w:r>
            <w:r w:rsidRPr="592A5A24">
              <w:rPr>
                <w:rFonts w:ascii="Times New Roman" w:eastAsia="Times New Roman" w:hAnsi="Times New Roman" w:cs="Times New Roman"/>
                <w:b/>
                <w:bCs/>
                <w:sz w:val="22"/>
                <w:szCs w:val="22"/>
              </w:rPr>
              <w:t xml:space="preserve">DistMult </w:t>
            </w:r>
            <w:r w:rsidRPr="592A5A24">
              <w:rPr>
                <w:rFonts w:ascii="Times New Roman" w:eastAsia="Times New Roman" w:hAnsi="Times New Roman" w:cs="Times New Roman"/>
                <w:sz w:val="22"/>
                <w:szCs w:val="22"/>
              </w:rPr>
              <w:t>for links</w:t>
            </w:r>
          </w:p>
        </w:tc>
        <w:tc>
          <w:tcPr>
            <w:tcW w:w="1695"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shd w:val="clear" w:color="auto" w:fill="E7EAED"/>
            <w:tcMar>
              <w:top w:w="72" w:type="dxa"/>
              <w:left w:w="144" w:type="dxa"/>
              <w:bottom w:w="72" w:type="dxa"/>
              <w:right w:w="144" w:type="dxa"/>
            </w:tcMar>
            <w:hideMark/>
          </w:tcPr>
          <w:p w14:paraId="0E9610BC"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Schlichtkrull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arXiv 2017</w:t>
            </w:r>
          </w:p>
        </w:tc>
        <w:tc>
          <w:tcPr>
            <w:tcW w:w="900"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shd w:val="clear" w:color="auto" w:fill="E7EAED"/>
            <w:tcMar>
              <w:top w:w="72" w:type="dxa"/>
              <w:left w:w="144" w:type="dxa"/>
              <w:bottom w:w="72" w:type="dxa"/>
              <w:right w:w="144" w:type="dxa"/>
            </w:tcMar>
            <w:hideMark/>
          </w:tcPr>
          <w:p w14:paraId="2E0CBE16"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2017</w:t>
            </w:r>
          </w:p>
        </w:tc>
        <w:tc>
          <w:tcPr>
            <w:tcW w:w="2225"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shd w:val="clear" w:color="auto" w:fill="E7EAED"/>
            <w:tcMar>
              <w:top w:w="72" w:type="dxa"/>
              <w:left w:w="144" w:type="dxa"/>
              <w:bottom w:w="72" w:type="dxa"/>
              <w:right w:w="144" w:type="dxa"/>
            </w:tcMar>
            <w:hideMark/>
          </w:tcPr>
          <w:p w14:paraId="39E517E7"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 xml:space="preserve">Size blows up with many edge types </w:t>
            </w:r>
          </w:p>
        </w:tc>
      </w:tr>
      <w:tr w:rsidR="00415DB5" w:rsidRPr="00415DB5" w14:paraId="6BAD4728" w14:textId="77777777" w:rsidTr="592A5A24">
        <w:trPr>
          <w:trHeight w:val="584"/>
        </w:trPr>
        <w:tc>
          <w:tcPr>
            <w:tcW w:w="965"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43E13132"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GAT</w:t>
            </w:r>
          </w:p>
        </w:tc>
        <w:tc>
          <w:tcPr>
            <w:tcW w:w="2161"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312928D3"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Neighborhood attention</w:t>
            </w:r>
          </w:p>
        </w:tc>
        <w:tc>
          <w:tcPr>
            <w:tcW w:w="2044"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13100271"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E2E</w:t>
            </w:r>
          </w:p>
        </w:tc>
        <w:tc>
          <w:tcPr>
            <w:tcW w:w="1695"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683A7015"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Veličković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ICLR 2018</w:t>
            </w:r>
          </w:p>
        </w:tc>
        <w:tc>
          <w:tcPr>
            <w:tcW w:w="900"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24EAB6F6"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2018</w:t>
            </w:r>
          </w:p>
        </w:tc>
        <w:tc>
          <w:tcPr>
            <w:tcW w:w="2225"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5B79D355"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Size</w:t>
            </w:r>
          </w:p>
        </w:tc>
      </w:tr>
      <w:tr w:rsidR="00415DB5" w:rsidRPr="00415DB5" w14:paraId="7189F92E" w14:textId="77777777" w:rsidTr="592A5A24">
        <w:trPr>
          <w:trHeight w:val="584"/>
        </w:trPr>
        <w:tc>
          <w:tcPr>
            <w:tcW w:w="965" w:type="dxa"/>
            <w:tcBorders>
              <w:top w:val="single" w:sz="8" w:space="0" w:color="000000" w:themeColor="text1"/>
              <w:left w:val="single" w:sz="8" w:space="0" w:color="000000" w:themeColor="text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718FBD3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RotatE</w:t>
            </w:r>
          </w:p>
        </w:tc>
        <w:tc>
          <w:tcPr>
            <w:tcW w:w="2161"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325AF891"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Relations trained as </w:t>
            </w:r>
          </w:p>
        </w:tc>
        <w:tc>
          <w:tcPr>
            <w:tcW w:w="2044"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66FEA9D1" w14:textId="77777777" w:rsidR="00415DB5" w:rsidRPr="00415DB5" w:rsidRDefault="00415DB5" w:rsidP="592A5A24">
            <w:pPr>
              <w:jc w:val="center"/>
              <w:rPr>
                <w:rFonts w:ascii="Times New Roman" w:eastAsia="Times New Roman" w:hAnsi="Times New Roman" w:cs="Times New Roman"/>
                <w:sz w:val="22"/>
                <w:szCs w:val="22"/>
              </w:rPr>
            </w:pPr>
            <m:oMathPara>
              <m:oMathParaPr>
                <m:jc m:val="centerGroup"/>
              </m:oMathParaPr>
              <m:oMath>
                <m:r>
                  <w:rPr>
                    <w:rFonts w:ascii="Cambria Math" w:hAnsi="Cambria Math" w:cs="Arial"/>
                    <w:sz w:val="22"/>
                    <w:szCs w:val="22"/>
                  </w:rPr>
                  <m:t>-</m:t>
                </m:r>
                <m:d>
                  <m:dPr>
                    <m:begChr m:val="‖"/>
                    <m:endChr m:val="‖"/>
                    <m:ctrlPr>
                      <w:rPr>
                        <w:rFonts w:ascii="Cambria Math" w:hAnsi="Cambria Math" w:cs="Arial"/>
                        <w:i/>
                        <w:iCs/>
                        <w:sz w:val="22"/>
                        <w:szCs w:val="22"/>
                      </w:rPr>
                    </m:ctrlPr>
                  </m:dPr>
                  <m:e>
                    <m:r>
                      <m:rPr>
                        <m:sty m:val="b"/>
                      </m:rPr>
                      <w:rPr>
                        <w:rFonts w:ascii="Cambria Math" w:hAnsi="Cambria Math" w:cs="Arial"/>
                        <w:sz w:val="22"/>
                        <w:szCs w:val="22"/>
                      </w:rPr>
                      <m:t>h∘r-t</m:t>
                    </m:r>
                  </m:e>
                </m:d>
              </m:oMath>
            </m:oMathPara>
          </w:p>
        </w:tc>
        <w:tc>
          <w:tcPr>
            <w:tcW w:w="169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52C59A4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Sun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ICLR 2019</w:t>
            </w:r>
          </w:p>
        </w:tc>
        <w:tc>
          <w:tcPr>
            <w:tcW w:w="90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01BC9074"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2019</w:t>
            </w:r>
          </w:p>
        </w:tc>
        <w:tc>
          <w:tcPr>
            <w:tcW w:w="2225" w:type="dxa"/>
            <w:tcBorders>
              <w:top w:val="single" w:sz="8" w:space="0" w:color="000000" w:themeColor="text1"/>
              <w:left w:val="single" w:sz="8" w:space="0" w:color="FFFFFF" w:themeColor="background1"/>
              <w:bottom w:val="single" w:sz="8" w:space="0" w:color="000000" w:themeColor="text1"/>
              <w:right w:val="single" w:sz="8" w:space="0" w:color="000000" w:themeColor="text1"/>
            </w:tcBorders>
            <w:shd w:val="clear" w:color="auto" w:fill="D9F2D0" w:themeFill="accent6" w:themeFillTint="33"/>
            <w:tcMar>
              <w:top w:w="72" w:type="dxa"/>
              <w:left w:w="144" w:type="dxa"/>
              <w:bottom w:w="72" w:type="dxa"/>
              <w:right w:w="144" w:type="dxa"/>
            </w:tcMar>
            <w:hideMark/>
          </w:tcPr>
          <w:p w14:paraId="39FE72E1"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Composition limited to ~2 hops, imbalance</w:t>
            </w:r>
          </w:p>
        </w:tc>
      </w:tr>
      <w:tr w:rsidR="00415DB5" w:rsidRPr="00415DB5" w14:paraId="2B7E06B0" w14:textId="77777777" w:rsidTr="592A5A24">
        <w:trPr>
          <w:trHeight w:val="584"/>
        </w:trPr>
        <w:tc>
          <w:tcPr>
            <w:tcW w:w="96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55294994"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HGT</w:t>
            </w:r>
          </w:p>
        </w:tc>
        <w:tc>
          <w:tcPr>
            <w:tcW w:w="2161"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2BF893F3"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Transformer w/ msg passing</w:t>
            </w:r>
          </w:p>
        </w:tc>
        <w:tc>
          <w:tcPr>
            <w:tcW w:w="2044"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7A509B4E"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E2E loss</w:t>
            </w:r>
          </w:p>
        </w:tc>
        <w:tc>
          <w:tcPr>
            <w:tcW w:w="169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0162EADD"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Hu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arXiv 2020</w:t>
            </w:r>
          </w:p>
        </w:tc>
        <w:tc>
          <w:tcPr>
            <w:tcW w:w="90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4AD8C693"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2020</w:t>
            </w:r>
          </w:p>
        </w:tc>
        <w:tc>
          <w:tcPr>
            <w:tcW w:w="222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7946C845"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Way too big (1B+)</w:t>
            </w:r>
          </w:p>
        </w:tc>
      </w:tr>
      <w:tr w:rsidR="00415DB5" w:rsidRPr="00415DB5" w14:paraId="06E898A9" w14:textId="77777777" w:rsidTr="592A5A24">
        <w:trPr>
          <w:trHeight w:val="584"/>
        </w:trPr>
        <w:tc>
          <w:tcPr>
            <w:tcW w:w="965" w:type="dxa"/>
            <w:tcBorders>
              <w:top w:val="single" w:sz="8" w:space="0" w:color="000000" w:themeColor="text1"/>
              <w:left w:val="single" w:sz="8" w:space="0" w:color="000000" w:themeColor="text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1CD35EF0"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GraphSAGE-Edge</w:t>
            </w:r>
          </w:p>
        </w:tc>
        <w:tc>
          <w:tcPr>
            <w:tcW w:w="2161"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73EDDE39"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GraphSAGE with semantic edge embeddings</w:t>
            </w:r>
          </w:p>
        </w:tc>
        <w:tc>
          <w:tcPr>
            <w:tcW w:w="2044"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07732407"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Unsupervised or supervised loss</w:t>
            </w:r>
          </w:p>
        </w:tc>
        <w:tc>
          <w:tcPr>
            <w:tcW w:w="169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6739C2A2"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i/>
                <w:iCs/>
                <w:sz w:val="22"/>
                <w:szCs w:val="22"/>
              </w:rPr>
              <w:t>In preparation</w:t>
            </w:r>
          </w:p>
        </w:tc>
        <w:tc>
          <w:tcPr>
            <w:tcW w:w="90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2DECB37E"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2026?</w:t>
            </w:r>
          </w:p>
        </w:tc>
        <w:tc>
          <w:tcPr>
            <w:tcW w:w="2225" w:type="dxa"/>
            <w:tcBorders>
              <w:top w:val="single" w:sz="8" w:space="0" w:color="000000" w:themeColor="text1"/>
              <w:left w:val="single" w:sz="8" w:space="0" w:color="FFFFFF" w:themeColor="background1"/>
              <w:bottom w:val="single" w:sz="8" w:space="0" w:color="000000" w:themeColor="text1"/>
              <w:right w:val="single" w:sz="8" w:space="0" w:color="000000" w:themeColor="text1"/>
            </w:tcBorders>
            <w:shd w:val="clear" w:color="auto" w:fill="D9F2D0" w:themeFill="accent6" w:themeFillTint="33"/>
            <w:tcMar>
              <w:top w:w="72" w:type="dxa"/>
              <w:left w:w="144" w:type="dxa"/>
              <w:bottom w:w="72" w:type="dxa"/>
              <w:right w:w="144" w:type="dxa"/>
            </w:tcMar>
            <w:hideMark/>
          </w:tcPr>
          <w:p w14:paraId="6CAEBF2A"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Not an E2E method</w:t>
            </w:r>
          </w:p>
        </w:tc>
      </w:tr>
    </w:tbl>
    <w:p w14:paraId="2715EF56" w14:textId="77777777" w:rsidR="00415DB5" w:rsidRDefault="00415DB5" w:rsidP="00DF7134">
      <w:pPr>
        <w:rPr>
          <w:rFonts w:ascii="Times New Roman" w:eastAsia="Times New Roman" w:hAnsi="Times New Roman" w:cs="Times New Roman"/>
          <w:sz w:val="22"/>
          <w:szCs w:val="22"/>
        </w:rPr>
      </w:pPr>
    </w:p>
    <w:p w14:paraId="7829070A" w14:textId="77777777" w:rsidR="00415DB5" w:rsidRDefault="00415DB5" w:rsidP="00DF7134">
      <w:pPr>
        <w:rPr>
          <w:rFonts w:ascii="Times New Roman" w:eastAsia="Times New Roman" w:hAnsi="Times New Roman" w:cs="Times New Roman"/>
          <w:sz w:val="22"/>
          <w:szCs w:val="22"/>
        </w:rPr>
      </w:pPr>
    </w:p>
    <w:p w14:paraId="68A67670" w14:textId="765A7B1B" w:rsidR="00DF7134" w:rsidRPr="00DF7134" w:rsidRDefault="00DF7134" w:rsidP="00DF7134">
      <w:pPr>
        <w:rPr>
          <w:rFonts w:ascii="Times New Roman" w:eastAsia="Times New Roman" w:hAnsi="Times New Roman" w:cs="Times New Roman"/>
          <w:b/>
          <w:bCs/>
          <w:sz w:val="22"/>
          <w:szCs w:val="22"/>
        </w:rPr>
      </w:pPr>
      <w:r w:rsidRPr="592A5A24">
        <w:rPr>
          <w:rFonts w:ascii="Times New Roman" w:eastAsia="Times New Roman" w:hAnsi="Times New Roman" w:cs="Times New Roman"/>
          <w:b/>
          <w:bCs/>
          <w:sz w:val="22"/>
          <w:szCs w:val="22"/>
        </w:rPr>
        <w:t>Results.</w:t>
      </w:r>
    </w:p>
    <w:p w14:paraId="77982B8F" w14:textId="721FEC0E" w:rsidR="00DF7134" w:rsidRDefault="00755C20" w:rsidP="00DF7134">
      <w:pPr>
        <w:rPr>
          <w:rFonts w:ascii="Times New Roman" w:eastAsia="Times New Roman" w:hAnsi="Times New Roman" w:cs="Times New Roman"/>
          <w:sz w:val="22"/>
          <w:szCs w:val="22"/>
        </w:rPr>
      </w:pPr>
      <w:r>
        <w:rPr>
          <w:rFonts w:ascii="Times New Roman" w:eastAsia="Times New Roman" w:hAnsi="Times New Roman" w:cs="Times New Roman"/>
          <w:sz w:val="22"/>
          <w:szCs w:val="22"/>
        </w:rPr>
        <w:t>Main empirical results</w:t>
      </w:r>
    </w:p>
    <w:p w14:paraId="3B1EC0E7" w14:textId="50782E6C" w:rsidR="00DF7134" w:rsidRDefault="00DF7134" w:rsidP="00B370F8">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Tables 1 and 2 summarize the principal comparison. GraphSAGE-Edge consistently improves over relation-agnostic GraphSAGE on both PrimeKG and FB15k-237 under both split protocols. In the main comparison, we report the best semantic relation encoder for each dataset and split among the completed OpenAI, Gemini, and E5 runs. We exclude the node-embedding variant from these tables because it changes the modeling assumption by injecting pretrained node features in addition to relation semantics.</w:t>
      </w:r>
    </w:p>
    <w:p w14:paraId="225D48E6" w14:textId="3C408754" w:rsidR="2B881305" w:rsidRDefault="2B881305" w:rsidP="592A5A24">
      <w:pPr>
        <w:ind w:right="720"/>
        <w:jc w:val="both"/>
        <w:rPr>
          <w:rFonts w:ascii="Times New Roman" w:eastAsia="Times New Roman" w:hAnsi="Times New Roman" w:cs="Times New Roman"/>
          <w:b/>
          <w:bCs/>
        </w:rPr>
      </w:pPr>
      <w:r>
        <w:rPr>
          <w:rFonts w:ascii="Times New Roman" w:eastAsia="Times New Roman" w:hAnsi="Times New Roman" w:cs="Times New Roman"/>
          <w:b/>
          <w:bCs/>
          <w:sz w:val="22"/>
          <w:szCs w:val="22"/>
        </w:rPr>
        <w:t>Table 1. Edge-split link prediction.</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427"/>
        <w:gridCol w:w="1427"/>
        <w:gridCol w:w="1427"/>
        <w:gridCol w:w="1427"/>
        <w:gridCol w:w="1427"/>
        <w:gridCol w:w="1427"/>
        <w:gridCol w:w="1427"/>
      </w:tblGrid>
      <w:tr w:rsidR="592A5A24" w14:paraId="4B75240D"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Dataset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Method</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ROC-AUC</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AP</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Hits@1</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Hits@3</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Hits@10</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Baseline GCN</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0.684</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0.085</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0.113</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0.296</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0.753</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Baseline GraphSAGE</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0.906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0.244</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0.347</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0.737</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0.970</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GraphSAGE-Edge (OpenAI)</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0.946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0.511</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0.553</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0.867</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0.985</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HGT</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0.962</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0.365</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Node2Vec</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0.958</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0.651</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0.757</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0.901</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0.981</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FB15k-237</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Baseline GCN</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0.623</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0.089</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0.144</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0.306</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0.645</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FB15k-237</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Baseline GraphSAGE</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0.846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0.283</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0.344</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0.627</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0.900</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FB15k-237</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GraphSAGE-Edge (Gemini)</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0.896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0.393</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0.456</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0.746</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0.949</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FB15k-237</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Node2Vec</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0.807</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0.131</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0.347</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0.629</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0.907</w:t>
            </w:r>
          </w:p>
        </w:tc>
      </w:tr>
    </w:tbl>
    <w:p w14:paraId="225D48E6" w14:textId="3C408754" w:rsidR="2B881305" w:rsidRDefault="2B881305" w:rsidP="592A5A24">
      <w:pPr>
        <w:ind w:right="720"/>
        <w:jc w:val="both"/>
        <w:rPr>
          <w:rFonts w:ascii="Times New Roman" w:eastAsia="Times New Roman" w:hAnsi="Times New Roman" w:cs="Times New Roman"/>
          <w:b/>
          <w:bCs/>
        </w:rPr>
      </w:pPr>
      <w:r>
        <w:rPr>
          <w:rFonts w:ascii="Times New Roman" w:eastAsia="Times New Roman" w:hAnsi="Times New Roman" w:cs="Times New Roman"/>
          <w:b/>
          <w:bCs/>
          <w:sz w:val="22"/>
          <w:szCs w:val="22"/>
        </w:rPr>
        <w:t>Table 2. Node-split link prediction.</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427"/>
        <w:gridCol w:w="1427"/>
        <w:gridCol w:w="1427"/>
        <w:gridCol w:w="1427"/>
        <w:gridCol w:w="1427"/>
        <w:gridCol w:w="1427"/>
        <w:gridCol w:w="1427"/>
      </w:tblGrid>
      <w:tr w:rsidR="592A5A24" w14:paraId="7672AAFE"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Dataset</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Method</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ROC-AUC</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AP</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Hits@1</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Hits@3</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Hits@10</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Baseline GCN</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0.679</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0.084</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0.103</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0.286</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0.764</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Baseline GraphSAGE</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0.879</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0.219</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0.288</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0.669</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0.947</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GraphSAGE-Edge (Gemini)</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0.938</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0.478</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0.497</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0.834</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0.974</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HGT</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0.841</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0.450</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FB15k-237</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Baseline GCN</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0.558</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0.058</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0.091</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0.219</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0.572</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FB15k-237</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Baseline GraphSAGE</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0.804</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0.199</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0.266</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0.542</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0.862</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FB15k-237</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GraphSAGE-Edge (OpenAI)</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0.881</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0.334</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0.409</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0.704</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0.932</w:t>
            </w:r>
          </w:p>
        </w:tc>
      </w:tr>
    </w:tbl>
    <w:p w14:paraId="77982B8F" w14:textId="721FEC0E" w:rsidR="00DF7134" w:rsidRDefault="00755C20" w:rsidP="00DF7134">
      <w:pPr>
        <w:rPr>
          <w:rFonts w:ascii="Times New Roman" w:eastAsia="Times New Roman" w:hAnsi="Times New Roman" w:cs="Times New Roman"/>
          <w:sz w:val="22"/>
          <w:szCs w:val="22"/>
        </w:rPr>
      </w:pPr>
      <w:r>
        <w:rPr>
          <w:rFonts w:ascii="Times New Roman" w:eastAsia="Times New Roman" w:hAnsi="Times New Roman" w:cs="Times New Roman"/>
          <w:sz w:val="22"/>
          <w:szCs w:val="22"/>
        </w:rPr>
        <w:t>Embedding ablation for GraphSAGE-Edge</w:t>
      </w:r>
    </w:p>
    <w:p w14:paraId="3B1EC0E7" w14:textId="50782E6C" w:rsidR="00DF7134" w:rsidRDefault="00DF7134" w:rsidP="00B370F8">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Tables 3 and 4 separate the edge-aware GraphSAGE runs by relation embedding backend. All three relation encoders improve over vanilla GraphSAGE, indicating that the gain is driven by lexical semantic edge injection rather than a single provider-specific embedding model. The strongest backend varies by dataset and split: OpenAI yields the best AP on PrimeKG edge and FB15k-237 node, Gemini is best on PrimeKG node and FB15k-237 edge, and E5 remains competitive in every setting.</w:t>
      </w:r>
    </w:p>
    <w:p w14:paraId="225D48E6" w14:textId="3C408754" w:rsidR="2B881305" w:rsidRDefault="2B881305" w:rsidP="592A5A24">
      <w:pPr>
        <w:ind w:right="720"/>
        <w:jc w:val="both"/>
        <w:rPr>
          <w:rFonts w:ascii="Times New Roman" w:eastAsia="Times New Roman" w:hAnsi="Times New Roman" w:cs="Times New Roman"/>
          <w:b/>
          <w:bCs/>
        </w:rPr>
      </w:pPr>
      <w:r>
        <w:rPr>
          <w:rFonts w:ascii="Times New Roman" w:eastAsia="Times New Roman" w:hAnsi="Times New Roman" w:cs="Times New Roman"/>
          <w:b/>
          <w:bCs/>
          <w:sz w:val="22"/>
          <w:szCs w:val="22"/>
        </w:rPr>
        <w:t>Table 3. Edge-split GraphSAGE-Edge ablation by relation embedding.</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427"/>
        <w:gridCol w:w="1427"/>
        <w:gridCol w:w="1427"/>
        <w:gridCol w:w="1427"/>
        <w:gridCol w:w="1427"/>
        <w:gridCol w:w="1427"/>
        <w:gridCol w:w="1427"/>
      </w:tblGrid>
      <w:tr w:rsidR="592A5A24" w14:paraId="4B75240D"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Dataset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Relation embedding</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ROC-AUC</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AP</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Hits@1</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Hits@3</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Hits@10</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OpenAI</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0.946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0.511</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0.553</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0.867</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0.985</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Gemini</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0.946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0.504</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0.544</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0.864</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0.983</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E5</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0.947</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0.509</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0.548</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0.866</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0.985</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FB15k-237</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OpenAI</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0.895</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0.382</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0.452</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0.745</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0.950</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FB15k-237</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Gemini</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0.896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0.393</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0.456</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0.746</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0.949</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FB15k-237</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E5</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0.891</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0.367</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0.443</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0.735</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0.945</w:t>
            </w:r>
          </w:p>
        </w:tc>
      </w:tr>
    </w:tbl>
    <w:p w14:paraId="225D48E6" w14:textId="3C408754" w:rsidR="2B881305" w:rsidRDefault="2B881305" w:rsidP="592A5A24">
      <w:pPr>
        <w:ind w:right="720"/>
        <w:jc w:val="both"/>
        <w:rPr>
          <w:rFonts w:ascii="Times New Roman" w:eastAsia="Times New Roman" w:hAnsi="Times New Roman" w:cs="Times New Roman"/>
          <w:b/>
          <w:bCs/>
        </w:rPr>
      </w:pPr>
      <w:r>
        <w:rPr>
          <w:rFonts w:ascii="Times New Roman" w:eastAsia="Times New Roman" w:hAnsi="Times New Roman" w:cs="Times New Roman"/>
          <w:b/>
          <w:bCs/>
          <w:sz w:val="22"/>
          <w:szCs w:val="22"/>
        </w:rPr>
        <w:t>Table 4. Node-split GraphSAGE-Edge ablation by relation embedding.</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427"/>
        <w:gridCol w:w="1427"/>
        <w:gridCol w:w="1427"/>
        <w:gridCol w:w="1427"/>
        <w:gridCol w:w="1427"/>
        <w:gridCol w:w="1427"/>
        <w:gridCol w:w="1427"/>
      </w:tblGrid>
      <w:tr w:rsidR="592A5A24" w14:paraId="7672AAFE"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Dataset</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Relation embedding</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ROC-AUC</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AP</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Hits@1</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Hits@3</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b/>
                <w:bCs/>
              </w:rPr>
            </w:pPr>
            <w:r>
              <w:rPr>
                <w:rFonts w:ascii="Times New Roman" w:eastAsia="Times New Roman" w:hAnsi="Times New Roman" w:cs="Times New Roman"/>
                <w:b/>
                <w:bCs/>
              </w:rPr>
              <w:t>Hits@10</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OpenAI</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0.938</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0.473</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0.487</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0.829</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0.975</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Gemini</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0.938</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0.478</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0.497</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0.834</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0.974</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PrimeKG</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E5</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0.937</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0.469</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0.491</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0.831</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0.973</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FB15k-237</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OpenAI</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0.881</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0.334</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0.409</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0.704</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0.932</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FB15k-237</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Gemini</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0.876</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0.330</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0.402</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0.695</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0.927</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FB15k-237</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E5</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0.872</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0.323</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0.398</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0.690</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pPr>
              <w:spacing w:after="0"/>
              <w:jc w:val="center"/>
              <w:rPr>
                <w:rFonts w:ascii="Times New Roman" w:eastAsia="Times New Roman" w:hAnsi="Times New Roman" w:cs="Times New Roman"/>
              </w:rPr>
            </w:pPr>
            <w:r>
              <w:rPr>
                <w:rFonts w:ascii="Times New Roman" w:eastAsia="Times New Roman" w:hAnsi="Times New Roman" w:cs="Times New Roman"/>
              </w:rPr>
              <w:t>0.919</w:t>
            </w:r>
          </w:p>
        </w:tc>
      </w:tr>
    </w:tbl>
    <w:p w14:paraId="3B1EC0E7" w14:textId="50782E6C" w:rsidR="00DF7134" w:rsidRDefault="00DF7134" w:rsidP="00B370F8">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Overall, lexical semantic relation injection yields large gains over relation-agnostic GraphSAGE at minimal architectural cost. On PrimeKG, average precision rises from 0.244 to 0.511 in the edge split and from 0.219 to 0.478 in the node split. On FB15k-237, average precision rises from 0.283 to 0.393 in the edge split and from 0.199 to 0.334 in the node split. PrimeKG HGT attains the highest edge-split ROC-AUC, but GraphSAGE-Edge achieves substantially better average precision and stronger node-split performance, suggesting that lightweight semantic edge conditioning can compete with more expensive heterogeneous architectures.</w:t>
      </w:r>
    </w:p>
    <w:p w14:paraId="6213B186" w14:textId="145956F5" w:rsidR="00DF7134" w:rsidRPr="00DF7134" w:rsidRDefault="00DF7134" w:rsidP="00DF7134">
      <w:pPr>
        <w:rPr>
          <w:rFonts w:ascii="Times New Roman" w:eastAsia="Times New Roman" w:hAnsi="Times New Roman" w:cs="Times New Roman"/>
          <w:b/>
          <w:bCs/>
          <w:sz w:val="22"/>
          <w:szCs w:val="22"/>
        </w:rPr>
      </w:pPr>
      <w:r w:rsidRPr="592A5A24">
        <w:rPr>
          <w:rFonts w:ascii="Times New Roman" w:eastAsia="Times New Roman" w:hAnsi="Times New Roman" w:cs="Times New Roman"/>
          <w:b/>
          <w:bCs/>
          <w:sz w:val="22"/>
          <w:szCs w:val="22"/>
        </w:rPr>
        <w:t>Discussion.</w:t>
      </w:r>
    </w:p>
    <w:p w14:paraId="6DD8412B" w14:textId="77777777" w:rsidR="00DF7134" w:rsidRDefault="00DF7134" w:rsidP="00DF7134">
      <w:pPr>
        <w:rPr>
          <w:rFonts w:ascii="Times New Roman" w:eastAsia="Times New Roman" w:hAnsi="Times New Roman" w:cs="Times New Roman"/>
          <w:sz w:val="22"/>
          <w:szCs w:val="22"/>
        </w:rPr>
      </w:pPr>
    </w:p>
    <w:p w14:paraId="3464F8AB" w14:textId="46FAAF84" w:rsidR="00DF7134" w:rsidRPr="00DF7134" w:rsidRDefault="00DF7134" w:rsidP="00DF7134">
      <w:r w:rsidRPr="592A5A24">
        <w:rPr>
          <w:rFonts w:ascii="Times New Roman" w:eastAsia="Times New Roman" w:hAnsi="Times New Roman" w:cs="Times New Roman"/>
          <w:b/>
          <w:bCs/>
          <w:sz w:val="22"/>
          <w:szCs w:val="22"/>
        </w:rPr>
        <w:t>Methods.</w:t>
      </w:r>
    </w:p>
    <w:p w14:paraId="77982B8F" w14:textId="721FEC0E" w:rsidR="00DF7134" w:rsidRDefault="00755C20" w:rsidP="00DF7134">
      <w:pPr>
        <w:rPr>
          <w:rFonts w:ascii="Times New Roman" w:eastAsia="Times New Roman" w:hAnsi="Times New Roman" w:cs="Times New Roman"/>
          <w:sz w:val="22"/>
          <w:szCs w:val="22"/>
        </w:rPr>
      </w:pPr>
      <w:r>
        <w:rPr>
          <w:rFonts w:ascii="Times New Roman" w:eastAsia="Times New Roman" w:hAnsi="Times New Roman" w:cs="Times New Roman"/>
          <w:sz w:val="22"/>
          <w:szCs w:val="22"/>
        </w:rPr>
        <w:t>Problem setup</w:t>
      </w:r>
    </w:p>
    <w:p w14:paraId="3B1EC0E7" w14:textId="50782E6C" w:rsidR="00DF7134" w:rsidRDefault="00DF7134" w:rsidP="00B370F8">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 study link prediction on multi-relational knowledge graphs. Given a graph G=(V,E) with typed relations r in R, the task is to score whether an edge (u,r,v) should exist. We evaluate both an edge split, where only edges are withheld, and a harder node split, where validation and test edges involve held-out nodes. In the repository pipeline, negative edges are sampled globally for the edge split and with type matching for the node split.</w:t>
      </w:r>
    </w:p>
    <w:p w14:paraId="77982B8F" w14:textId="721FEC0E" w:rsidR="00DF7134" w:rsidRDefault="00755C20" w:rsidP="00DF7134">
      <w:pPr>
        <w:rPr>
          <w:rFonts w:ascii="Times New Roman" w:eastAsia="Times New Roman" w:hAnsi="Times New Roman" w:cs="Times New Roman"/>
          <w:sz w:val="22"/>
          <w:szCs w:val="22"/>
        </w:rPr>
      </w:pPr>
      <w:r>
        <w:rPr>
          <w:rFonts w:ascii="Times New Roman" w:eastAsia="Times New Roman" w:hAnsi="Times New Roman" w:cs="Times New Roman"/>
          <w:sz w:val="22"/>
          <w:szCs w:val="22"/>
        </w:rPr>
        <w:t>Datasets</w:t>
      </w:r>
    </w:p>
    <w:p w14:paraId="3B1EC0E7" w14:textId="50782E6C" w:rsidR="00DF7134" w:rsidRDefault="00DF7134" w:rsidP="00B370F8">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 report experiments on PrimeKG and FB15k-237. PrimeKG is a biomedical knowledge graph with typed entities and semantically meaningful biomedical relations. FB15k-237 is a standard multi-relational benchmark for link prediction. Both datasets are processed through the same run_gpu_method pipeline, which constructs a homogeneous PyTorch Geometric graph with relation labels on edges and evaluates all methods under matched metrics.</w:t>
      </w:r>
    </w:p>
    <w:p w14:paraId="77982B8F" w14:textId="721FEC0E" w:rsidR="00DF7134" w:rsidRDefault="00755C20" w:rsidP="00DF7134">
      <w:pPr>
        <w:rPr>
          <w:rFonts w:ascii="Times New Roman" w:eastAsia="Times New Roman" w:hAnsi="Times New Roman" w:cs="Times New Roman"/>
          <w:sz w:val="22"/>
          <w:szCs w:val="22"/>
        </w:rPr>
      </w:pPr>
      <w:r>
        <w:rPr>
          <w:rFonts w:ascii="Times New Roman" w:eastAsia="Times New Roman" w:hAnsi="Times New Roman" w:cs="Times New Roman"/>
          <w:sz w:val="22"/>
          <w:szCs w:val="22"/>
        </w:rPr>
        <w:t>Lexical semantic relation embeddings</w:t>
      </w:r>
    </w:p>
    <w:p w14:paraId="3B1EC0E7" w14:textId="50782E6C" w:rsidR="00DF7134" w:rsidRDefault="00DF7134" w:rsidP="00B370F8">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each relation type r, we construct a text description and map it to a dense vector using a text embedding model. In the completed experiments reported here, the relation encoder is one of OpenAI, Gemini, or E5. For DRKG-style sourced predicates, the system can incorporate glossary-derived fields such as relation name, source database, connected entity types, interaction type, and description. For PrimeKG-style predicates, the raw relation string is embedded directly. The relation embedding table is computed once per relation vocabulary and cached.</w:t>
      </w:r>
    </w:p>
    <w:p w14:paraId="77982B8F" w14:textId="721FEC0E" w:rsidR="00DF7134" w:rsidRDefault="00755C20" w:rsidP="00DF7134">
      <w:pPr>
        <w:rPr>
          <w:rFonts w:ascii="Times New Roman" w:eastAsia="Times New Roman" w:hAnsi="Times New Roman" w:cs="Times New Roman"/>
          <w:sz w:val="22"/>
          <w:szCs w:val="22"/>
        </w:rPr>
      </w:pPr>
      <w:r>
        <w:rPr>
          <w:rFonts w:ascii="Times New Roman" w:eastAsia="Times New Roman" w:hAnsi="Times New Roman" w:cs="Times New Roman"/>
          <w:sz w:val="22"/>
          <w:szCs w:val="22"/>
        </w:rPr>
        <w:t>Edge-aware GraphSAGE</w:t>
      </w:r>
    </w:p>
    <w:p w14:paraId="3B1EC0E7" w14:textId="50782E6C" w:rsidR="00DF7134" w:rsidRDefault="00DF7134" w:rsidP="00B370F8">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Our main model is the edge-aware GraphSAGE encoder implemented in src/kgml_new/models/edge_aware_sage.py. The semantic relation table is frozen during graph learning. When the embedding width of the relation encoder differs from the graph message dimension, the model learns a single linear projection into the edge message space. In the concat variant used for all PrimeKG and FB15k-237 runs reported here, each message is computed from the concatenation of the neighbor representation and the projected relation embedding. Messages are aggregated with mean pooling and combined with a learned root transform, mirroring the self-term behavior of standard GraphSAGE. The final hop is also relation-aware, and output node embeddings are L2-normalized before link scoring.</w:t>
      </w:r>
    </w:p>
    <w:p w14:paraId="77982B8F" w14:textId="721FEC0E" w:rsidR="00DF7134" w:rsidRDefault="00755C20" w:rsidP="00DF7134">
      <w:pPr>
        <w:rPr>
          <w:rFonts w:ascii="Times New Roman" w:eastAsia="Times New Roman" w:hAnsi="Times New Roman" w:cs="Times New Roman"/>
          <w:sz w:val="22"/>
          <w:szCs w:val="22"/>
        </w:rPr>
      </w:pPr>
      <w:r>
        <w:rPr>
          <w:rFonts w:ascii="Times New Roman" w:eastAsia="Times New Roman" w:hAnsi="Times New Roman" w:cs="Times New Roman"/>
          <w:sz w:val="22"/>
          <w:szCs w:val="22"/>
        </w:rPr>
        <w:t>Baselines</w:t>
      </w:r>
    </w:p>
    <w:p w14:paraId="3B1EC0E7" w14:textId="50782E6C" w:rsidR="00DF7134" w:rsidRDefault="00DF7134" w:rsidP="00B370F8">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 compare against baseline GCN, baseline GraphSAGE, Node2Vec, and HGT. The semantic edge-aware model and vanilla GraphSAGE share the same training pipeline and differ primarily in whether lexical semantic relation vectors are injected into the message function. We exclude the separate edge_aware_sage_node_emb variant from the paper tables because it also injects pretrained node embeddings and therefore changes the modeling assumption.</w:t>
      </w:r>
    </w:p>
    <w:p w14:paraId="77982B8F" w14:textId="721FEC0E" w:rsidR="00DF7134" w:rsidRDefault="00755C20" w:rsidP="00DF7134">
      <w:pPr>
        <w:rPr>
          <w:rFonts w:ascii="Times New Roman" w:eastAsia="Times New Roman" w:hAnsi="Times New Roman" w:cs="Times New Roman"/>
          <w:sz w:val="22"/>
          <w:szCs w:val="22"/>
        </w:rPr>
      </w:pPr>
      <w:r>
        <w:rPr>
          <w:rFonts w:ascii="Times New Roman" w:eastAsia="Times New Roman" w:hAnsi="Times New Roman" w:cs="Times New Roman"/>
          <w:sz w:val="22"/>
          <w:szCs w:val="22"/>
        </w:rPr>
        <w:t>Training protocol</w:t>
      </w:r>
    </w:p>
    <w:p w14:paraId="3B1EC0E7" w14:textId="50782E6C" w:rsidR="00DF7134" w:rsidRDefault="00DF7134" w:rsidP="00B370F8">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Unless otherwise stated, GraphSAGE and GCN runs use the default configuration from src/kgml_new/config.py: input dimension 64, edge dimension 32, hidden dimension 32, output dimension 64, two message-passing layers, 100 training epochs, learning rate 1e-3, batch size 256, and mean neighborhood aggregation with fanouts [10, 10]. Evaluation uses 20 negative edges per positive edge. We report ROC-AUC, average precision, Hits@1, Hits@3, and Hits@10.</w:t>
      </w:r>
    </w:p>
    <w:sectPr w:rsidR="00DF7134">
      <w:headerReference w:type="default" r:id="rId14"/>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Luca, Marcello" w:date="2026-04-14T09:59:00Z" w:initials="DM">
    <w:p w14:paraId="2E41DAB9" w14:textId="77777777" w:rsidR="0070688E" w:rsidRDefault="0070688E" w:rsidP="0070688E">
      <w:r>
        <w:rPr>
          <w:rStyle w:val="CommentReference"/>
        </w:rPr>
        <w:annotationRef/>
      </w:r>
      <w:r>
        <w:rPr>
          <w:sz w:val="20"/>
          <w:szCs w:val="20"/>
        </w:rPr>
        <w:t>Let's think about what the function prototype should look like exactly</w:t>
      </w:r>
    </w:p>
    <w:p w14:paraId="29527F28" w14:textId="77777777" w:rsidR="0070688E" w:rsidRDefault="0070688E" w:rsidP="0070688E"/>
  </w:comment>
  <w:comment w:id="1" w:author="DeLuca, Marcello" w:date="2026-04-14T10:01:00Z" w:initials="DM">
    <w:p w14:paraId="4F42CE06" w14:textId="77777777" w:rsidR="00686A41" w:rsidRDefault="00E951AB" w:rsidP="00686A41">
      <w:r>
        <w:rPr>
          <w:rStyle w:val="CommentReference"/>
        </w:rPr>
        <w:annotationRef/>
      </w:r>
      <w:r w:rsidR="00686A41">
        <w:rPr>
          <w:sz w:val="20"/>
          <w:szCs w:val="20"/>
        </w:rPr>
        <w:t>maybe we should release as a PyTorch Geometric module?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527F28" w15:done="0"/>
  <w15:commentEx w15:paraId="4F42CE06" w15:paraIdParent="29527F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5D7D77" w16cex:dateUtc="2026-04-14T13:59:00Z"/>
  <w16cex:commentExtensible w16cex:durableId="1A0FC3B0" w16cex:dateUtc="2026-04-14T1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527F28" w16cid:durableId="575D7D77"/>
  <w16cid:commentId w16cid:paraId="4F42CE06" w16cid:durableId="1A0FC3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02E6C" w14:textId="77777777" w:rsidR="005A661E" w:rsidRDefault="005A661E" w:rsidP="000766B3">
      <w:pPr>
        <w:spacing w:after="0" w:line="240" w:lineRule="auto"/>
      </w:pPr>
      <w:r>
        <w:separator/>
      </w:r>
    </w:p>
  </w:endnote>
  <w:endnote w:type="continuationSeparator" w:id="0">
    <w:p w14:paraId="3801B69D" w14:textId="77777777" w:rsidR="005A661E" w:rsidRDefault="005A661E" w:rsidP="00076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92A5A24" w14:paraId="299CB39F" w14:textId="77777777" w:rsidTr="592A5A24">
      <w:trPr>
        <w:trHeight w:val="300"/>
      </w:trPr>
      <w:tc>
        <w:tcPr>
          <w:tcW w:w="3120" w:type="dxa"/>
        </w:tcPr>
        <w:p w14:paraId="41E823B7" w14:textId="4EC14391" w:rsidR="592A5A24" w:rsidRDefault="592A5A24" w:rsidP="592A5A24">
          <w:pPr>
            <w:pStyle w:val="Header"/>
            <w:ind w:left="-115"/>
          </w:pPr>
        </w:p>
      </w:tc>
      <w:tc>
        <w:tcPr>
          <w:tcW w:w="3120" w:type="dxa"/>
        </w:tcPr>
        <w:p w14:paraId="0E2DB7F6" w14:textId="00CC789B" w:rsidR="592A5A24" w:rsidRDefault="592A5A24" w:rsidP="592A5A24">
          <w:pPr>
            <w:pStyle w:val="Header"/>
            <w:jc w:val="center"/>
          </w:pPr>
        </w:p>
      </w:tc>
      <w:tc>
        <w:tcPr>
          <w:tcW w:w="3120" w:type="dxa"/>
        </w:tcPr>
        <w:p w14:paraId="0C95969D" w14:textId="79F1B8C9" w:rsidR="592A5A24" w:rsidRDefault="592A5A24" w:rsidP="592A5A24">
          <w:pPr>
            <w:pStyle w:val="Header"/>
            <w:ind w:right="-115"/>
            <w:jc w:val="right"/>
          </w:pPr>
        </w:p>
      </w:tc>
    </w:tr>
  </w:tbl>
  <w:p w14:paraId="261354E2" w14:textId="359021F5" w:rsidR="000766B3" w:rsidRDefault="000766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55E35" w14:textId="77777777" w:rsidR="005A661E" w:rsidRDefault="005A661E" w:rsidP="000766B3">
      <w:pPr>
        <w:spacing w:after="0" w:line="240" w:lineRule="auto"/>
      </w:pPr>
      <w:r>
        <w:separator/>
      </w:r>
    </w:p>
  </w:footnote>
  <w:footnote w:type="continuationSeparator" w:id="0">
    <w:p w14:paraId="6980EB0C" w14:textId="77777777" w:rsidR="005A661E" w:rsidRDefault="005A661E" w:rsidP="00076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92A5A24" w14:paraId="7C4D582F" w14:textId="77777777" w:rsidTr="592A5A24">
      <w:trPr>
        <w:trHeight w:val="300"/>
      </w:trPr>
      <w:tc>
        <w:tcPr>
          <w:tcW w:w="3120" w:type="dxa"/>
        </w:tcPr>
        <w:p w14:paraId="4D48A96D" w14:textId="20EAB7A0" w:rsidR="592A5A24" w:rsidRDefault="592A5A24" w:rsidP="592A5A24">
          <w:pPr>
            <w:pStyle w:val="Header"/>
            <w:ind w:left="-115"/>
          </w:pPr>
        </w:p>
      </w:tc>
      <w:tc>
        <w:tcPr>
          <w:tcW w:w="3120" w:type="dxa"/>
        </w:tcPr>
        <w:p w14:paraId="481DCA28" w14:textId="5D26FFAD" w:rsidR="592A5A24" w:rsidRDefault="592A5A24" w:rsidP="592A5A24">
          <w:pPr>
            <w:pStyle w:val="Header"/>
            <w:jc w:val="center"/>
          </w:pPr>
        </w:p>
      </w:tc>
      <w:tc>
        <w:tcPr>
          <w:tcW w:w="3120" w:type="dxa"/>
        </w:tcPr>
        <w:p w14:paraId="36AF7659" w14:textId="5349BEB9" w:rsidR="592A5A24" w:rsidRDefault="592A5A24" w:rsidP="592A5A24">
          <w:pPr>
            <w:pStyle w:val="Header"/>
            <w:ind w:right="-115"/>
            <w:jc w:val="right"/>
          </w:pPr>
        </w:p>
      </w:tc>
    </w:tr>
  </w:tbl>
  <w:p w14:paraId="1E976DC8" w14:textId="4189CF0B" w:rsidR="000766B3" w:rsidRDefault="000766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21010"/>
    <w:multiLevelType w:val="hybridMultilevel"/>
    <w:tmpl w:val="8772B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4E494F"/>
    <w:multiLevelType w:val="hybridMultilevel"/>
    <w:tmpl w:val="F2EC0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782A41"/>
    <w:multiLevelType w:val="hybridMultilevel"/>
    <w:tmpl w:val="A9C0C586"/>
    <w:lvl w:ilvl="0" w:tplc="6AC0B0E4">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175975">
    <w:abstractNumId w:val="1"/>
  </w:num>
  <w:num w:numId="2" w16cid:durableId="1804738983">
    <w:abstractNumId w:val="0"/>
  </w:num>
  <w:num w:numId="3" w16cid:durableId="38102787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Luca, Marcello">
    <w15:presenceInfo w15:providerId="AD" w15:userId="S::delmar@AD.UNC.EDU::bfe7e336-b88f-40c6-b727-4871fe428e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34"/>
    <w:rsid w:val="00003D49"/>
    <w:rsid w:val="000766B3"/>
    <w:rsid w:val="00082277"/>
    <w:rsid w:val="000A03A9"/>
    <w:rsid w:val="0011745B"/>
    <w:rsid w:val="00124C68"/>
    <w:rsid w:val="00142D4D"/>
    <w:rsid w:val="00182E58"/>
    <w:rsid w:val="00195CBC"/>
    <w:rsid w:val="001A06B0"/>
    <w:rsid w:val="002022FD"/>
    <w:rsid w:val="002C7F09"/>
    <w:rsid w:val="002D58DC"/>
    <w:rsid w:val="00316A5B"/>
    <w:rsid w:val="00323987"/>
    <w:rsid w:val="00356E1B"/>
    <w:rsid w:val="0036338A"/>
    <w:rsid w:val="00372D71"/>
    <w:rsid w:val="003B0073"/>
    <w:rsid w:val="003E2259"/>
    <w:rsid w:val="003F36A1"/>
    <w:rsid w:val="00406571"/>
    <w:rsid w:val="00415DB5"/>
    <w:rsid w:val="0044773C"/>
    <w:rsid w:val="00485B10"/>
    <w:rsid w:val="004A507A"/>
    <w:rsid w:val="004B4E48"/>
    <w:rsid w:val="004C3B0D"/>
    <w:rsid w:val="00530B2C"/>
    <w:rsid w:val="0058148F"/>
    <w:rsid w:val="005A661E"/>
    <w:rsid w:val="005B53D3"/>
    <w:rsid w:val="00612B92"/>
    <w:rsid w:val="00645589"/>
    <w:rsid w:val="00686A41"/>
    <w:rsid w:val="006D6899"/>
    <w:rsid w:val="0070688E"/>
    <w:rsid w:val="00755C20"/>
    <w:rsid w:val="007A662D"/>
    <w:rsid w:val="007E235E"/>
    <w:rsid w:val="007E55EE"/>
    <w:rsid w:val="00812CB5"/>
    <w:rsid w:val="008136D7"/>
    <w:rsid w:val="00872EDD"/>
    <w:rsid w:val="00873A39"/>
    <w:rsid w:val="008B57C0"/>
    <w:rsid w:val="008C49C8"/>
    <w:rsid w:val="008F1FA5"/>
    <w:rsid w:val="009928C1"/>
    <w:rsid w:val="00A4345D"/>
    <w:rsid w:val="00AB334E"/>
    <w:rsid w:val="00AD7DF9"/>
    <w:rsid w:val="00AF4491"/>
    <w:rsid w:val="00AF6108"/>
    <w:rsid w:val="00B123D8"/>
    <w:rsid w:val="00B1711F"/>
    <w:rsid w:val="00B3605F"/>
    <w:rsid w:val="00B370F8"/>
    <w:rsid w:val="00B40310"/>
    <w:rsid w:val="00B9604A"/>
    <w:rsid w:val="00C01EA8"/>
    <w:rsid w:val="00C150C8"/>
    <w:rsid w:val="00C55C07"/>
    <w:rsid w:val="00C613A8"/>
    <w:rsid w:val="00C87CF5"/>
    <w:rsid w:val="00D136D8"/>
    <w:rsid w:val="00D229D5"/>
    <w:rsid w:val="00D23441"/>
    <w:rsid w:val="00D46BE3"/>
    <w:rsid w:val="00D5580F"/>
    <w:rsid w:val="00D67A61"/>
    <w:rsid w:val="00D944C1"/>
    <w:rsid w:val="00DD763E"/>
    <w:rsid w:val="00DE47E1"/>
    <w:rsid w:val="00DF7134"/>
    <w:rsid w:val="00E031E5"/>
    <w:rsid w:val="00E17FB2"/>
    <w:rsid w:val="00E951AB"/>
    <w:rsid w:val="00EC5796"/>
    <w:rsid w:val="00EF32EF"/>
    <w:rsid w:val="00F24B25"/>
    <w:rsid w:val="00F444EF"/>
    <w:rsid w:val="026B9427"/>
    <w:rsid w:val="0275238C"/>
    <w:rsid w:val="036F3551"/>
    <w:rsid w:val="04267803"/>
    <w:rsid w:val="04EB1C77"/>
    <w:rsid w:val="04F8AB3B"/>
    <w:rsid w:val="05407653"/>
    <w:rsid w:val="06D9CF4B"/>
    <w:rsid w:val="073B2D56"/>
    <w:rsid w:val="0819BE36"/>
    <w:rsid w:val="08B6D838"/>
    <w:rsid w:val="08BFFF0A"/>
    <w:rsid w:val="0B8561C0"/>
    <w:rsid w:val="0D294C8C"/>
    <w:rsid w:val="10DA6190"/>
    <w:rsid w:val="1133960F"/>
    <w:rsid w:val="17B4E1B6"/>
    <w:rsid w:val="187B85B4"/>
    <w:rsid w:val="19E6B4C9"/>
    <w:rsid w:val="1E1BDB4F"/>
    <w:rsid w:val="1F94548D"/>
    <w:rsid w:val="26157358"/>
    <w:rsid w:val="2995BCF7"/>
    <w:rsid w:val="2B881305"/>
    <w:rsid w:val="2D06A097"/>
    <w:rsid w:val="2D7CFCA8"/>
    <w:rsid w:val="2DD9FF95"/>
    <w:rsid w:val="2F86365F"/>
    <w:rsid w:val="31A25C57"/>
    <w:rsid w:val="3B374587"/>
    <w:rsid w:val="3DA6E68C"/>
    <w:rsid w:val="3E9A0194"/>
    <w:rsid w:val="3FE3020D"/>
    <w:rsid w:val="4636286E"/>
    <w:rsid w:val="4A115752"/>
    <w:rsid w:val="4B88D8EC"/>
    <w:rsid w:val="4C225A9D"/>
    <w:rsid w:val="4D897C1A"/>
    <w:rsid w:val="4EB14A50"/>
    <w:rsid w:val="50D0216E"/>
    <w:rsid w:val="5220FF01"/>
    <w:rsid w:val="557D7145"/>
    <w:rsid w:val="56A43503"/>
    <w:rsid w:val="57813547"/>
    <w:rsid w:val="592A5A24"/>
    <w:rsid w:val="5B48A5BB"/>
    <w:rsid w:val="5BEBF1D6"/>
    <w:rsid w:val="5EDFB03D"/>
    <w:rsid w:val="60B94D38"/>
    <w:rsid w:val="61C4BD5D"/>
    <w:rsid w:val="635FE19B"/>
    <w:rsid w:val="63690AC9"/>
    <w:rsid w:val="65D09B24"/>
    <w:rsid w:val="66170FFB"/>
    <w:rsid w:val="66614C11"/>
    <w:rsid w:val="66FAE432"/>
    <w:rsid w:val="67717352"/>
    <w:rsid w:val="6A5BB551"/>
    <w:rsid w:val="6A8A6310"/>
    <w:rsid w:val="6FE034B6"/>
    <w:rsid w:val="70B78ADA"/>
    <w:rsid w:val="71FA678B"/>
    <w:rsid w:val="72A789C3"/>
    <w:rsid w:val="7364B4FB"/>
    <w:rsid w:val="743355C4"/>
    <w:rsid w:val="769F6739"/>
    <w:rsid w:val="79812616"/>
    <w:rsid w:val="7A490371"/>
    <w:rsid w:val="7F2C53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E5F954"/>
  <w15:chartTrackingRefBased/>
  <w15:docId w15:val="{E3A0FFF6-7E3C-48D4-B938-EDFCCCED2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134"/>
    <w:rPr>
      <w:rFonts w:eastAsiaTheme="majorEastAsia" w:cstheme="majorBidi"/>
      <w:color w:val="272727" w:themeColor="text1" w:themeTint="D8"/>
    </w:rPr>
  </w:style>
  <w:style w:type="paragraph" w:styleId="Title">
    <w:name w:val="Title"/>
    <w:basedOn w:val="Normal"/>
    <w:next w:val="Normal"/>
    <w:link w:val="TitleChar"/>
    <w:uiPriority w:val="10"/>
    <w:qFormat/>
    <w:rsid w:val="00DF7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134"/>
    <w:pPr>
      <w:spacing w:before="160"/>
      <w:jc w:val="center"/>
    </w:pPr>
    <w:rPr>
      <w:i/>
      <w:iCs/>
      <w:color w:val="404040" w:themeColor="text1" w:themeTint="BF"/>
    </w:rPr>
  </w:style>
  <w:style w:type="character" w:customStyle="1" w:styleId="QuoteChar">
    <w:name w:val="Quote Char"/>
    <w:basedOn w:val="DefaultParagraphFont"/>
    <w:link w:val="Quote"/>
    <w:uiPriority w:val="29"/>
    <w:rsid w:val="00DF7134"/>
    <w:rPr>
      <w:i/>
      <w:iCs/>
      <w:color w:val="404040" w:themeColor="text1" w:themeTint="BF"/>
    </w:rPr>
  </w:style>
  <w:style w:type="paragraph" w:styleId="ListParagraph">
    <w:name w:val="List Paragraph"/>
    <w:basedOn w:val="Normal"/>
    <w:uiPriority w:val="34"/>
    <w:qFormat/>
    <w:rsid w:val="00DF7134"/>
    <w:pPr>
      <w:ind w:left="720"/>
      <w:contextualSpacing/>
    </w:pPr>
  </w:style>
  <w:style w:type="character" w:styleId="IntenseEmphasis">
    <w:name w:val="Intense Emphasis"/>
    <w:basedOn w:val="DefaultParagraphFont"/>
    <w:uiPriority w:val="21"/>
    <w:qFormat/>
    <w:rsid w:val="00DF7134"/>
    <w:rPr>
      <w:i/>
      <w:iCs/>
      <w:color w:val="0F4761" w:themeColor="accent1" w:themeShade="BF"/>
    </w:rPr>
  </w:style>
  <w:style w:type="paragraph" w:styleId="IntenseQuote">
    <w:name w:val="Intense Quote"/>
    <w:basedOn w:val="Normal"/>
    <w:next w:val="Normal"/>
    <w:link w:val="IntenseQuoteChar"/>
    <w:uiPriority w:val="30"/>
    <w:qFormat/>
    <w:rsid w:val="00DF7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134"/>
    <w:rPr>
      <w:i/>
      <w:iCs/>
      <w:color w:val="0F4761" w:themeColor="accent1" w:themeShade="BF"/>
    </w:rPr>
  </w:style>
  <w:style w:type="character" w:styleId="IntenseReference">
    <w:name w:val="Intense Reference"/>
    <w:basedOn w:val="DefaultParagraphFont"/>
    <w:uiPriority w:val="32"/>
    <w:qFormat/>
    <w:rsid w:val="00DF7134"/>
    <w:rPr>
      <w:b/>
      <w:bCs/>
      <w:smallCaps/>
      <w:color w:val="0F4761" w:themeColor="accent1" w:themeShade="BF"/>
      <w:spacing w:val="5"/>
    </w:rPr>
  </w:style>
  <w:style w:type="character" w:styleId="Hyperlink">
    <w:name w:val="Hyperlink"/>
    <w:basedOn w:val="DefaultParagraphFont"/>
    <w:uiPriority w:val="99"/>
    <w:unhideWhenUsed/>
    <w:rsid w:val="00B1711F"/>
    <w:rPr>
      <w:color w:val="467886" w:themeColor="hyperlink"/>
      <w:u w:val="single"/>
    </w:rPr>
  </w:style>
  <w:style w:type="character" w:styleId="UnresolvedMention">
    <w:name w:val="Unresolved Mention"/>
    <w:basedOn w:val="DefaultParagraphFont"/>
    <w:uiPriority w:val="99"/>
    <w:semiHidden/>
    <w:unhideWhenUsed/>
    <w:rsid w:val="00B1711F"/>
    <w:rPr>
      <w:color w:val="605E5C"/>
      <w:shd w:val="clear" w:color="auto" w:fill="E1DFDD"/>
    </w:rPr>
  </w:style>
  <w:style w:type="character" w:styleId="CommentReference">
    <w:name w:val="annotation reference"/>
    <w:basedOn w:val="DefaultParagraphFont"/>
    <w:uiPriority w:val="99"/>
    <w:semiHidden/>
    <w:unhideWhenUsed/>
    <w:rsid w:val="0070688E"/>
    <w:rPr>
      <w:sz w:val="16"/>
      <w:szCs w:val="16"/>
    </w:rPr>
  </w:style>
  <w:style w:type="paragraph" w:styleId="CommentText">
    <w:name w:val="annotation text"/>
    <w:basedOn w:val="Normal"/>
    <w:link w:val="CommentTextChar"/>
    <w:uiPriority w:val="99"/>
    <w:semiHidden/>
    <w:unhideWhenUsed/>
    <w:rsid w:val="0070688E"/>
    <w:pPr>
      <w:spacing w:line="240" w:lineRule="auto"/>
    </w:pPr>
    <w:rPr>
      <w:sz w:val="20"/>
      <w:szCs w:val="20"/>
    </w:rPr>
  </w:style>
  <w:style w:type="character" w:customStyle="1" w:styleId="CommentTextChar">
    <w:name w:val="Comment Text Char"/>
    <w:basedOn w:val="DefaultParagraphFont"/>
    <w:link w:val="CommentText"/>
    <w:uiPriority w:val="99"/>
    <w:semiHidden/>
    <w:rsid w:val="0070688E"/>
    <w:rPr>
      <w:sz w:val="20"/>
      <w:szCs w:val="20"/>
    </w:rPr>
  </w:style>
  <w:style w:type="paragraph" w:styleId="CommentSubject">
    <w:name w:val="annotation subject"/>
    <w:basedOn w:val="CommentText"/>
    <w:next w:val="CommentText"/>
    <w:link w:val="CommentSubjectChar"/>
    <w:uiPriority w:val="99"/>
    <w:semiHidden/>
    <w:unhideWhenUsed/>
    <w:rsid w:val="0070688E"/>
    <w:rPr>
      <w:b/>
      <w:bCs/>
    </w:rPr>
  </w:style>
  <w:style w:type="character" w:customStyle="1" w:styleId="CommentSubjectChar">
    <w:name w:val="Comment Subject Char"/>
    <w:basedOn w:val="CommentTextChar"/>
    <w:link w:val="CommentSubject"/>
    <w:uiPriority w:val="99"/>
    <w:semiHidden/>
    <w:rsid w:val="0070688E"/>
    <w:rPr>
      <w:b/>
      <w:bCs/>
      <w:sz w:val="20"/>
      <w:szCs w:val="20"/>
    </w:rPr>
  </w:style>
  <w:style w:type="paragraph" w:styleId="Header">
    <w:name w:val="header"/>
    <w:basedOn w:val="Normal"/>
    <w:link w:val="HeaderChar"/>
    <w:uiPriority w:val="99"/>
    <w:unhideWhenUsed/>
    <w:rsid w:val="000822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2277"/>
  </w:style>
  <w:style w:type="paragraph" w:styleId="Footer">
    <w:name w:val="footer"/>
    <w:basedOn w:val="Normal"/>
    <w:link w:val="FooterChar"/>
    <w:uiPriority w:val="99"/>
    <w:unhideWhenUsed/>
    <w:rsid w:val="000822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2277"/>
  </w:style>
  <w:style w:type="table" w:styleId="TableGrid">
    <w:name w:val="Table Grid"/>
    <w:basedOn w:val="TableNormal"/>
    <w:uiPriority w:val="59"/>
    <w:rsid w:val="000766B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lex_tropsha@unc.edu" TargetMode="Externa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1083</Words>
  <Characters>6177</Characters>
  <Application>Microsoft Office Word</Application>
  <DocSecurity>4</DocSecurity>
  <Lines>51</Lines>
  <Paragraphs>14</Paragraphs>
  <ScaleCrop>false</ScaleCrop>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DeLuca, Marcello</dc:creator>
  <cp:keywords/>
  <dc:description/>
  <cp:lastModifiedBy>Kapadia, Sahil Kamal</cp:lastModifiedBy>
  <cp:revision>43</cp:revision>
  <dcterms:created xsi:type="dcterms:W3CDTF">2026-04-14T16:45:00Z</dcterms:created>
  <dcterms:modified xsi:type="dcterms:W3CDTF">2026-04-20T18:06:00Z</dcterms:modified>
</cp:coreProperties>
</file>