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Roles, Responsibilities &amp; Delegation of Authority</w:t>
      </w:r>
    </w:p>
    <w:p>
      <w:pPr>
        <w:spacing w:before="0" w:after="280" w:line="264" w:lineRule="auto"/>
        <w:pBdr>
          <w:bottom w:val="single" w:sz="6" w:space="8" w:color="A6754C"/>
        </w:pBdr>
      </w:pPr>
      <w:r>
        <w:rPr>
          <w:rFonts w:ascii="Jost" w:hAnsi="Jost" w:cs="Jost" w:eastAsia="Jost"/>
          <w:b w:val="0"/>
          <w:i w:val="0"/>
          <w:color w:val="7A6753"/>
          <w:sz w:val="16"/>
        </w:rPr>
        <w:t xml:space="preserve">Document No. AUR-GOV-02 · Version 0.1 (Draft) · Owner: Founder &amp; CEO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 xml:space="preserve">This document sets out what each leader of The Aura Reset Center is responsible for, and who may decide, recommend or must be consulted on key business matters. It applies to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w:t>
      </w:r>
      <w:r>
        <w:rPr>
          <w:rFonts w:ascii="Jost" w:hAnsi="Jost" w:cs="Jost" w:eastAsia="Jost"/>
          <w:b w:val="0"/>
          <w:i w:val="0"/>
          <w:color w:val="A6754C"/>
          <w:sz w:val="20"/>
        </w:rPr>
        <w:t>[Trade License No.]</w:t>
      </w:r>
      <w:r>
        <w:rPr>
          <w:rFonts w:ascii="Jost" w:hAnsi="Jost" w:cs="Jost" w:eastAsia="Jost"/>
          <w:b w:val="0"/>
          <w:i w:val="0"/>
          <w:color w:val="4A3A2C"/>
          <w:sz w:val="20"/>
        </w:rPr>
        <w:t xml:space="preserve">) and to the Dubai flagship in Jumeirah 1. Where the split between the Founder &amp; CEO and the CEO is not yet settled, it is marked </w:t>
      </w:r>
      <w:r>
        <w:rPr>
          <w:rFonts w:ascii="Jost" w:hAnsi="Jost" w:cs="Jost" w:eastAsia="Jost"/>
          <w:b/>
          <w:i w:val="0"/>
          <w:color w:val="4A3A2C"/>
          <w:sz w:val="20"/>
        </w:rPr>
        <w:t>[To be agreed by the CEOs]</w:t>
      </w:r>
      <w:r>
        <w:rPr>
          <w:rFonts w:ascii="Jost" w:hAnsi="Jost" w:cs="Jost" w:eastAsia="Jost"/>
          <w:b w:val="0"/>
          <w:i w:val="0"/>
          <w:color w:val="4A3A2C"/>
          <w:sz w:val="20"/>
        </w:rPr>
        <w:t>. Until agreed, any such decision requires the approval of both.</w:t>
      </w:r>
    </w:p>
    <w:p>
      <w:pPr>
        <w:keepNext/>
        <w:spacing w:before="280" w:after="100" w:line="264" w:lineRule="auto"/>
      </w:pPr>
      <w:r>
        <w:rPr>
          <w:rFonts w:ascii="Marcellus" w:hAnsi="Marcellus" w:cs="Marcellus" w:eastAsia="Marcellus"/>
          <w:color w:val="221913"/>
          <w:sz w:val="28"/>
        </w:rPr>
        <w:t>2. Responsibilities</w:t>
      </w:r>
    </w:p>
    <w:p>
      <w:pPr>
        <w:keepNext/>
        <w:spacing w:before="200" w:after="60" w:line="264" w:lineRule="auto"/>
      </w:pPr>
      <w:r>
        <w:rPr>
          <w:rFonts w:ascii="Jost" w:hAnsi="Jost" w:cs="Jost" w:eastAsia="Jost"/>
          <w:b/>
          <w:color w:val="A6754C"/>
          <w:sz w:val="17"/>
        </w:rPr>
        <w:t>2.1 FOUNDER &amp; CHIEF EXECUTIVE OFFICER</w:t>
      </w:r>
    </w:p>
    <w:p>
      <w:pPr>
        <w:pStyle w:val="ListBullet"/>
        <w:spacing w:before="0" w:after="60" w:line="300" w:lineRule="auto"/>
      </w:pPr>
      <w:r>
        <w:rPr>
          <w:rFonts w:ascii="Jost" w:hAnsi="Jost" w:cs="Jost" w:eastAsia="Jost"/>
          <w:b w:val="0"/>
          <w:i w:val="0"/>
          <w:color w:val="4A3A2C"/>
          <w:sz w:val="20"/>
        </w:rPr>
        <w:t>Holds the vision, values and brand of The Aura: "Reset · Heal · Elevate" and the four things we will not compromise on.</w:t>
      </w:r>
    </w:p>
    <w:p>
      <w:pPr>
        <w:pStyle w:val="ListBullet"/>
        <w:spacing w:before="0" w:after="60" w:line="300" w:lineRule="auto"/>
      </w:pPr>
      <w:r>
        <w:rPr>
          <w:rFonts w:ascii="Jost" w:hAnsi="Jost" w:cs="Jost" w:eastAsia="Jost"/>
          <w:b w:val="0"/>
          <w:i w:val="0"/>
          <w:color w:val="4A3A2C"/>
          <w:sz w:val="20"/>
        </w:rPr>
        <w:t>Owns the guest experience philosophy and the modality menu, including any new modality or protocol.</w:t>
      </w:r>
    </w:p>
    <w:p>
      <w:pPr>
        <w:pStyle w:val="ListBullet"/>
        <w:spacing w:before="0" w:after="60" w:line="300" w:lineRule="auto"/>
      </w:pPr>
      <w:r>
        <w:rPr>
          <w:rFonts w:ascii="Jost" w:hAnsi="Jost" w:cs="Jost" w:eastAsia="Jost"/>
          <w:b w:val="0"/>
          <w:i w:val="0"/>
          <w:color w:val="4A3A2C"/>
          <w:sz w:val="20"/>
        </w:rPr>
        <w:t>Owns the relationship with Elevé Health at partner level, including the partner-clinic agreement.</w:t>
      </w:r>
    </w:p>
    <w:p>
      <w:pPr>
        <w:pStyle w:val="ListBullet"/>
        <w:spacing w:before="0" w:after="60" w:line="300" w:lineRule="auto"/>
      </w:pPr>
      <w:r>
        <w:rPr>
          <w:rFonts w:ascii="Jost" w:hAnsi="Jost" w:cs="Jost" w:eastAsia="Jost"/>
          <w:b w:val="0"/>
          <w:i w:val="0"/>
          <w:color w:val="4A3A2C"/>
          <w:sz w:val="20"/>
        </w:rPr>
        <w:t>Approves brand guidelines, the company profile and any public statement in the founder's name.</w:t>
      </w:r>
    </w:p>
    <w:p>
      <w:pPr>
        <w:pStyle w:val="ListBullet"/>
        <w:spacing w:before="0" w:after="60" w:line="300" w:lineRule="auto"/>
      </w:pPr>
      <w:r>
        <w:rPr>
          <w:rFonts w:ascii="Jost" w:hAnsi="Jost" w:cs="Jost" w:eastAsia="Jost"/>
          <w:b w:val="0"/>
          <w:i w:val="0"/>
          <w:color w:val="4A3A2C"/>
          <w:sz w:val="20"/>
        </w:rPr>
        <w:t xml:space="preserve">Leads investor, landlord and strategic partner relationships with the CEO </w:t>
      </w:r>
      <w:r>
        <w:rPr>
          <w:rFonts w:ascii="Jost" w:hAnsi="Jost" w:cs="Jost" w:eastAsia="Jost"/>
          <w:b w:val="0"/>
          <w:i w:val="0"/>
          <w:color w:val="A6754C"/>
          <w:sz w:val="20"/>
        </w:rPr>
        <w:t>[To be agreed by the CEOs]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Links the Dubai flagship with the United States location in Santa Ana, including membership reciprocity.</w:t>
      </w:r>
    </w:p>
    <w:p>
      <w:pPr>
        <w:pStyle w:val="ListBullet"/>
        <w:spacing w:before="0" w:after="60" w:line="300" w:lineRule="auto"/>
      </w:pPr>
      <w:r>
        <w:rPr>
          <w:rFonts w:ascii="Jost" w:hAnsi="Jost" w:cs="Jost" w:eastAsia="Jost"/>
          <w:b w:val="0"/>
          <w:i w:val="0"/>
          <w:color w:val="4A3A2C"/>
          <w:sz w:val="20"/>
        </w:rPr>
        <w:t>Chairs the quarterly leadership review.</w:t>
      </w:r>
    </w:p>
    <w:p>
      <w:pPr>
        <w:keepNext/>
        <w:spacing w:before="200" w:after="60" w:line="264" w:lineRule="auto"/>
      </w:pPr>
      <w:r>
        <w:rPr>
          <w:rFonts w:ascii="Jost" w:hAnsi="Jost" w:cs="Jost" w:eastAsia="Jost"/>
          <w:b/>
          <w:color w:val="A6754C"/>
          <w:sz w:val="17"/>
        </w:rPr>
        <w:t>2.2 CHIEF EXECUTIVE OFFICER</w:t>
      </w:r>
    </w:p>
    <w:p>
      <w:pPr>
        <w:pStyle w:val="ListBullet"/>
        <w:spacing w:before="0" w:after="60" w:line="300" w:lineRule="auto"/>
      </w:pPr>
      <w:r>
        <w:rPr>
          <w:rFonts w:ascii="Jost" w:hAnsi="Jost" w:cs="Jost" w:eastAsia="Jost"/>
          <w:b w:val="0"/>
          <w:i w:val="0"/>
          <w:color w:val="4A3A2C"/>
          <w:sz w:val="20"/>
        </w:rPr>
        <w:t xml:space="preserve">Leads commercial strategy, the business plan, annual budget and funding </w:t>
      </w:r>
      <w:r>
        <w:rPr>
          <w:rFonts w:ascii="Jost" w:hAnsi="Jost" w:cs="Jost" w:eastAsia="Jost"/>
          <w:b w:val="0"/>
          <w:i w:val="0"/>
          <w:color w:val="A6754C"/>
          <w:sz w:val="20"/>
        </w:rPr>
        <w:t>[To be agreed by the CEOs]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Owns financial controls, banking mandates, audit, VAT registration and corporate compliance.</w:t>
      </w:r>
    </w:p>
    <w:p>
      <w:pPr>
        <w:pStyle w:val="ListBullet"/>
        <w:spacing w:before="0" w:after="60" w:line="300" w:lineRule="auto"/>
      </w:pPr>
      <w:r>
        <w:rPr>
          <w:rFonts w:ascii="Jost" w:hAnsi="Jost" w:cs="Jost" w:eastAsia="Jost"/>
          <w:b w:val="0"/>
          <w:i w:val="0"/>
          <w:color w:val="4A3A2C"/>
          <w:sz w:val="20"/>
        </w:rPr>
        <w:t xml:space="preserve">Oversees licensing: trade license, </w:t>
      </w:r>
      <w:r>
        <w:rPr>
          <w:rFonts w:ascii="Jost" w:hAnsi="Jost" w:cs="Jost" w:eastAsia="Jost"/>
          <w:b w:val="0"/>
          <w:i w:val="0"/>
          <w:color w:val="A6754C"/>
          <w:sz w:val="20"/>
        </w:rPr>
        <w:t>[Licensing Authority]</w:t>
      </w:r>
      <w:r>
        <w:rPr>
          <w:rFonts w:ascii="Jost" w:hAnsi="Jost" w:cs="Jost" w:eastAsia="Jost"/>
          <w:b w:val="0"/>
          <w:i w:val="0"/>
          <w:color w:val="4A3A2C"/>
          <w:sz w:val="20"/>
        </w:rPr>
        <w:t xml:space="preserve"> approvals, DHA approvals for clinical services, Dubai Municipality and Dubai Civil Defence requirements.</w:t>
      </w:r>
    </w:p>
    <w:p>
      <w:pPr>
        <w:pStyle w:val="ListBullet"/>
        <w:spacing w:before="0" w:after="60" w:line="300" w:lineRule="auto"/>
      </w:pPr>
      <w:r>
        <w:rPr>
          <w:rFonts w:ascii="Jost" w:hAnsi="Jost" w:cs="Jost" w:eastAsia="Jost"/>
          <w:b w:val="0"/>
          <w:i w:val="0"/>
          <w:color w:val="4A3A2C"/>
          <w:sz w:val="20"/>
        </w:rPr>
        <w:t>Approves senior hires, employment terms and the organisation chart (with the Founder &amp; CEO).</w:t>
      </w:r>
    </w:p>
    <w:p>
      <w:pPr>
        <w:pStyle w:val="ListBullet"/>
        <w:spacing w:before="0" w:after="60" w:line="300" w:lineRule="auto"/>
      </w:pPr>
      <w:r>
        <w:rPr>
          <w:rFonts w:ascii="Jost" w:hAnsi="Jost" w:cs="Jost" w:eastAsia="Jost"/>
          <w:b w:val="0"/>
          <w:i w:val="0"/>
          <w:color w:val="4A3A2C"/>
          <w:sz w:val="20"/>
        </w:rPr>
        <w:t>Approves material contracts, leases and insurance.</w:t>
      </w:r>
    </w:p>
    <w:p>
      <w:pPr>
        <w:pStyle w:val="ListBullet"/>
        <w:spacing w:before="0" w:after="60" w:line="300" w:lineRule="auto"/>
      </w:pPr>
      <w:r>
        <w:rPr>
          <w:rFonts w:ascii="Jost" w:hAnsi="Jost" w:cs="Jost" w:eastAsia="Jost"/>
          <w:b w:val="0"/>
          <w:i w:val="0"/>
          <w:color w:val="4A3A2C"/>
          <w:sz w:val="20"/>
        </w:rPr>
        <w:t>Holds the General Manager accountable for operating performance against agreed targets.</w:t>
      </w:r>
    </w:p>
    <w:p>
      <w:pPr>
        <w:keepNext/>
        <w:spacing w:before="200" w:after="60" w:line="264" w:lineRule="auto"/>
      </w:pPr>
      <w:r>
        <w:rPr>
          <w:rFonts w:ascii="Jost" w:hAnsi="Jost" w:cs="Jost" w:eastAsia="Jost"/>
          <w:b/>
          <w:color w:val="A6754C"/>
          <w:sz w:val="17"/>
        </w:rPr>
        <w:t>2.3 GENERAL MANAGER</w:t>
      </w:r>
    </w:p>
    <w:p>
      <w:pPr>
        <w:pStyle w:val="ListBullet"/>
        <w:spacing w:before="0" w:after="60" w:line="300" w:lineRule="auto"/>
      </w:pPr>
      <w:r>
        <w:rPr>
          <w:rFonts w:ascii="Jost" w:hAnsi="Jost" w:cs="Jost" w:eastAsia="Jost"/>
          <w:b w:val="0"/>
          <w:i w:val="0"/>
          <w:color w:val="4A3A2C"/>
          <w:sz w:val="20"/>
        </w:rPr>
        <w:t>Runs day-to-day operations of the Dubai studio within the approved budget and policies.</w:t>
      </w:r>
    </w:p>
    <w:p>
      <w:pPr>
        <w:pStyle w:val="ListBullet"/>
        <w:spacing w:before="0" w:after="60" w:line="300" w:lineRule="auto"/>
      </w:pPr>
      <w:r>
        <w:rPr>
          <w:rFonts w:ascii="Jost" w:hAnsi="Jost" w:cs="Jost" w:eastAsia="Jost"/>
          <w:b w:val="0"/>
          <w:i w:val="0"/>
          <w:color w:val="4A3A2C"/>
          <w:sz w:val="20"/>
        </w:rPr>
        <w:t>Builds and leads the team: Lead Host, Hosts, Guest Relations, Housekeeping, Marketing &amp; Community, and works with the Clinical Lead.</w:t>
      </w:r>
    </w:p>
    <w:p>
      <w:pPr>
        <w:pStyle w:val="ListBullet"/>
        <w:spacing w:before="0" w:after="60" w:line="300" w:lineRule="auto"/>
      </w:pPr>
      <w:r>
        <w:rPr>
          <w:rFonts w:ascii="Jost" w:hAnsi="Jost" w:cs="Jost" w:eastAsia="Jost"/>
          <w:b w:val="0"/>
          <w:i w:val="0"/>
          <w:color w:val="4A3A2C"/>
          <w:sz w:val="20"/>
        </w:rPr>
        <w:t>Delivers the opening programme for November 2026, including the launch event and founding-member onboarding.</w:t>
      </w:r>
    </w:p>
    <w:p>
      <w:pPr>
        <w:pStyle w:val="ListBullet"/>
        <w:spacing w:before="0" w:after="60" w:line="300" w:lineRule="auto"/>
      </w:pPr>
      <w:r>
        <w:rPr>
          <w:rFonts w:ascii="Jost" w:hAnsi="Jost" w:cs="Jost" w:eastAsia="Jost"/>
          <w:b w:val="0"/>
          <w:i w:val="0"/>
          <w:color w:val="4A3A2C"/>
          <w:sz w:val="20"/>
        </w:rPr>
        <w:t>Manages daily contact with Elevé Health on installation, calibration, service schedules and Host training.</w:t>
      </w:r>
    </w:p>
    <w:p>
      <w:pPr>
        <w:pStyle w:val="ListBullet"/>
        <w:spacing w:before="0" w:after="60" w:line="300" w:lineRule="auto"/>
      </w:pPr>
      <w:r>
        <w:rPr>
          <w:rFonts w:ascii="Jost" w:hAnsi="Jost" w:cs="Jost" w:eastAsia="Jost"/>
          <w:b w:val="0"/>
          <w:i w:val="0"/>
          <w:color w:val="4A3A2C"/>
          <w:sz w:val="20"/>
        </w:rPr>
        <w:t>Owns health, safety, hygiene and incident management on site; escalates per section 5.</w:t>
      </w:r>
    </w:p>
    <w:p>
      <w:pPr>
        <w:pStyle w:val="ListBullet"/>
        <w:spacing w:before="0" w:after="60" w:line="300" w:lineRule="auto"/>
      </w:pPr>
      <w:r>
        <w:rPr>
          <w:rFonts w:ascii="Jost" w:hAnsi="Jost" w:cs="Jost" w:eastAsia="Jost"/>
          <w:b w:val="0"/>
          <w:i w:val="0"/>
          <w:color w:val="4A3A2C"/>
          <w:sz w:val="20"/>
        </w:rPr>
        <w:t>Manages suppliers, stock (robes, towels, slippers, Epsom salt, consumables) and facilities.</w:t>
      </w:r>
    </w:p>
    <w:p>
      <w:pPr>
        <w:pStyle w:val="ListBullet"/>
        <w:spacing w:before="0" w:after="60" w:line="300" w:lineRule="auto"/>
      </w:pPr>
      <w:r>
        <w:rPr>
          <w:rFonts w:ascii="Jost" w:hAnsi="Jost" w:cs="Jost" w:eastAsia="Jost"/>
          <w:b w:val="0"/>
          <w:i w:val="0"/>
          <w:color w:val="4A3A2C"/>
          <w:sz w:val="20"/>
        </w:rPr>
        <w:t>Reports weekly to both CEOs on bookings, memberships, guest feedback, incidents and spend.</w:t>
      </w:r>
    </w:p>
    <w:p>
      <w:pPr>
        <w:keepNext/>
        <w:spacing w:before="200" w:after="60" w:line="264" w:lineRule="auto"/>
      </w:pPr>
      <w:r>
        <w:rPr>
          <w:rFonts w:ascii="Jost" w:hAnsi="Jost" w:cs="Jost" w:eastAsia="Jost"/>
          <w:b/>
          <w:color w:val="A6754C"/>
          <w:sz w:val="17"/>
        </w:rPr>
        <w:t>2.4 LEAD HOST / OPERATIONS LEAD</w:t>
      </w:r>
    </w:p>
    <w:p>
      <w:pPr>
        <w:pStyle w:val="ListBullet"/>
        <w:spacing w:before="0" w:after="60" w:line="300" w:lineRule="auto"/>
      </w:pPr>
      <w:r>
        <w:rPr>
          <w:rFonts w:ascii="Jost" w:hAnsi="Jost" w:cs="Jost" w:eastAsia="Jost"/>
          <w:b w:val="0"/>
          <w:i w:val="0"/>
          <w:color w:val="4A3A2C"/>
          <w:sz w:val="20"/>
        </w:rPr>
        <w:t>Leads each shift; makes sure every guest has a Host from arrival to the last exhale.</w:t>
      </w:r>
    </w:p>
    <w:p>
      <w:pPr>
        <w:pStyle w:val="ListBullet"/>
        <w:spacing w:before="0" w:after="60" w:line="300" w:lineRule="auto"/>
      </w:pPr>
      <w:r>
        <w:rPr>
          <w:rFonts w:ascii="Jost" w:hAnsi="Jost" w:cs="Jost" w:eastAsia="Jost"/>
          <w:b w:val="0"/>
          <w:i w:val="0"/>
          <w:color w:val="4A3A2C"/>
          <w:sz w:val="20"/>
        </w:rPr>
        <w:t>Maintains protocols, checklists and Elevé training records for every Host.</w:t>
      </w:r>
    </w:p>
    <w:p>
      <w:pPr>
        <w:pStyle w:val="ListBullet"/>
        <w:spacing w:before="0" w:after="60" w:line="300" w:lineRule="auto"/>
      </w:pPr>
      <w:r>
        <w:rPr>
          <w:rFonts w:ascii="Jost" w:hAnsi="Jost" w:cs="Jost" w:eastAsia="Jost"/>
          <w:b w:val="0"/>
          <w:i w:val="0"/>
          <w:color w:val="4A3A2C"/>
          <w:sz w:val="20"/>
        </w:rPr>
        <w:t>Approves small service recoveries on the floor within the limits below.</w:t>
      </w:r>
    </w:p>
    <w:p>
      <w:pPr>
        <w:pStyle w:val="ListBullet"/>
        <w:spacing w:before="0" w:after="60" w:line="300" w:lineRule="auto"/>
      </w:pPr>
      <w:r>
        <w:rPr>
          <w:rFonts w:ascii="Jost" w:hAnsi="Jost" w:cs="Jost" w:eastAsia="Jost"/>
          <w:b w:val="0"/>
          <w:i w:val="0"/>
          <w:color w:val="4A3A2C"/>
          <w:sz w:val="20"/>
        </w:rPr>
        <w:t>First point of escalation for any guest concern or incident.</w:t>
      </w:r>
    </w:p>
    <w:p>
      <w:pPr>
        <w:keepNext/>
        <w:spacing w:before="200" w:after="60" w:line="264" w:lineRule="auto"/>
      </w:pPr>
      <w:r>
        <w:rPr>
          <w:rFonts w:ascii="Jost" w:hAnsi="Jost" w:cs="Jost" w:eastAsia="Jost"/>
          <w:b/>
          <w:color w:val="A6754C"/>
          <w:sz w:val="17"/>
        </w:rPr>
        <w:t>2.5 CLINICAL LEAD</w:t>
      </w:r>
    </w:p>
    <w:p>
      <w:pPr>
        <w:pStyle w:val="ListBullet"/>
        <w:spacing w:before="0" w:after="60" w:line="300" w:lineRule="auto"/>
      </w:pPr>
      <w:r>
        <w:rPr>
          <w:rFonts w:ascii="Jost" w:hAnsi="Jost" w:cs="Jost" w:eastAsia="Jost"/>
          <w:b w:val="0"/>
          <w:i w:val="0"/>
          <w:color w:val="4A3A2C"/>
          <w:sz w:val="20"/>
        </w:rPr>
        <w:t xml:space="preserve">Clinical governance for IV nutrient therapy and hyperbaric oxygen, subject to DHA requirements </w:t>
      </w:r>
      <w:r>
        <w:rPr>
          <w:rFonts w:ascii="Jost" w:hAnsi="Jost" w:cs="Jost" w:eastAsia="Jost"/>
          <w:b w:val="0"/>
          <w:i w:val="0"/>
          <w:color w:val="A6754C"/>
          <w:sz w:val="20"/>
        </w:rPr>
        <w:t>[DHA licence / approval 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Has authority to stop or decline any session on clinical grounds. This authority cannot be overridden by any commercial decision.</w:t>
      </w:r>
    </w:p>
    <w:p>
      <w:pPr>
        <w:keepNext/>
        <w:spacing w:before="280" w:after="100" w:line="264" w:lineRule="auto"/>
      </w:pPr>
      <w:r>
        <w:rPr>
          <w:rFonts w:ascii="Marcellus" w:hAnsi="Marcellus" w:cs="Marcellus" w:eastAsia="Marcellus"/>
          <w:color w:val="221913"/>
          <w:sz w:val="28"/>
        </w:rPr>
        <w:t>3. Notation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Code</w:t>
            </w:r>
          </w:p>
        </w:tc>
        <w:tc>
          <w:tcPr>
            <w:tcW w:type="dxa" w:w="4706"/>
            <w:shd w:val="clear" w:color="auto" w:fill="221913"/>
          </w:tcPr>
          <w:p>
            <w:pPr>
              <w:spacing w:before="40" w:after="40" w:line="276" w:lineRule="auto"/>
            </w:pPr>
            <w:r>
              <w:rPr>
                <w:rFonts w:ascii="Jost" w:hAnsi="Jost" w:cs="Jost" w:eastAsia="Jost"/>
                <w:b/>
                <w:i w:val="0"/>
                <w:color w:val="FBF5EE"/>
                <w:sz w:val="17"/>
              </w:rPr>
              <w:t>Meaning</w:t>
            </w:r>
          </w:p>
        </w:tc>
      </w:tr>
      <w:tr>
        <w:tc>
          <w:tcPr>
            <w:tcW w:type="dxa" w:w="4706"/>
          </w:tcPr>
          <w:p>
            <w:pPr>
              <w:spacing w:before="40" w:after="40" w:line="276" w:lineRule="auto"/>
            </w:pPr>
            <w:r>
              <w:rPr>
                <w:rFonts w:ascii="Jost" w:hAnsi="Jost" w:cs="Jost" w:eastAsia="Jost"/>
                <w:b/>
                <w:i w:val="0"/>
                <w:color w:val="4A3A2C"/>
                <w:sz w:val="17"/>
              </w:rPr>
              <w:t>A</w:t>
            </w:r>
          </w:p>
        </w:tc>
        <w:tc>
          <w:tcPr>
            <w:tcW w:type="dxa" w:w="4706"/>
          </w:tcPr>
          <w:p>
            <w:pPr>
              <w:spacing w:before="40" w:after="40" w:line="276" w:lineRule="auto"/>
            </w:pPr>
            <w:r>
              <w:rPr>
                <w:rFonts w:ascii="Jost" w:hAnsi="Jost" w:cs="Jost" w:eastAsia="Jost"/>
                <w:b w:val="0"/>
                <w:i w:val="0"/>
                <w:color w:val="4A3A2C"/>
                <w:sz w:val="17"/>
              </w:rPr>
              <w:t>Approves — makes the final decision and is accountable</w:t>
            </w:r>
          </w:p>
        </w:tc>
      </w:tr>
      <w:tr>
        <w:tc>
          <w:tcPr>
            <w:tcW w:type="dxa" w:w="4706"/>
            <w:shd w:val="clear" w:color="auto" w:fill="FBF5EE"/>
          </w:tcPr>
          <w:p>
            <w:pPr>
              <w:spacing w:before="40" w:after="40" w:line="276" w:lineRule="auto"/>
            </w:pPr>
            <w:r>
              <w:rPr>
                <w:rFonts w:ascii="Jost" w:hAnsi="Jost" w:cs="Jost" w:eastAsia="Jost"/>
                <w:b/>
                <w:i w:val="0"/>
                <w:color w:val="4A3A2C"/>
                <w:sz w:val="17"/>
              </w:rPr>
              <w:t>R</w:t>
            </w:r>
          </w:p>
        </w:tc>
        <w:tc>
          <w:tcPr>
            <w:tcW w:type="dxa" w:w="4706"/>
            <w:shd w:val="clear" w:color="auto" w:fill="FBF5EE"/>
          </w:tcPr>
          <w:p>
            <w:pPr>
              <w:spacing w:before="40" w:after="40" w:line="276" w:lineRule="auto"/>
            </w:pPr>
            <w:r>
              <w:rPr>
                <w:rFonts w:ascii="Jost" w:hAnsi="Jost" w:cs="Jost" w:eastAsia="Jost"/>
                <w:b w:val="0"/>
                <w:i w:val="0"/>
                <w:color w:val="4A3A2C"/>
                <w:sz w:val="17"/>
              </w:rPr>
              <w:t>Recommends / responsible for preparing and carrying out</w:t>
            </w:r>
          </w:p>
        </w:tc>
      </w:tr>
      <w:tr>
        <w:tc>
          <w:tcPr>
            <w:tcW w:type="dxa" w:w="4706"/>
          </w:tcPr>
          <w:p>
            <w:pPr>
              <w:spacing w:before="40" w:after="40" w:line="276" w:lineRule="auto"/>
            </w:pPr>
            <w:r>
              <w:rPr>
                <w:rFonts w:ascii="Jost" w:hAnsi="Jost" w:cs="Jost" w:eastAsia="Jost"/>
                <w:b/>
                <w:i w:val="0"/>
                <w:color w:val="4A3A2C"/>
                <w:sz w:val="17"/>
              </w:rPr>
              <w:t>C</w:t>
            </w:r>
          </w:p>
        </w:tc>
        <w:tc>
          <w:tcPr>
            <w:tcW w:type="dxa" w:w="4706"/>
          </w:tcPr>
          <w:p>
            <w:pPr>
              <w:spacing w:before="40" w:after="40" w:line="276" w:lineRule="auto"/>
            </w:pPr>
            <w:r>
              <w:rPr>
                <w:rFonts w:ascii="Jost" w:hAnsi="Jost" w:cs="Jost" w:eastAsia="Jost"/>
                <w:b w:val="0"/>
                <w:i w:val="0"/>
                <w:color w:val="4A3A2C"/>
                <w:sz w:val="17"/>
              </w:rPr>
              <w:t>Consulted before the decision</w:t>
            </w:r>
          </w:p>
        </w:tc>
      </w:tr>
      <w:tr>
        <w:tc>
          <w:tcPr>
            <w:tcW w:type="dxa" w:w="4706"/>
            <w:shd w:val="clear" w:color="auto" w:fill="FBF5EE"/>
          </w:tcPr>
          <w:p>
            <w:pPr>
              <w:spacing w:before="40" w:after="40" w:line="276" w:lineRule="auto"/>
            </w:pPr>
            <w:r>
              <w:rPr>
                <w:rFonts w:ascii="Jost" w:hAnsi="Jost" w:cs="Jost" w:eastAsia="Jost"/>
                <w:b/>
                <w:i w:val="0"/>
                <w:color w:val="4A3A2C"/>
                <w:sz w:val="17"/>
              </w:rPr>
              <w:t>I</w:t>
            </w:r>
          </w:p>
        </w:tc>
        <w:tc>
          <w:tcPr>
            <w:tcW w:type="dxa" w:w="4706"/>
            <w:shd w:val="clear" w:color="auto" w:fill="FBF5EE"/>
          </w:tcPr>
          <w:p>
            <w:pPr>
              <w:spacing w:before="40" w:after="40" w:line="276" w:lineRule="auto"/>
            </w:pPr>
            <w:r>
              <w:rPr>
                <w:rFonts w:ascii="Jost" w:hAnsi="Jost" w:cs="Jost" w:eastAsia="Jost"/>
                <w:b w:val="0"/>
                <w:i w:val="0"/>
                <w:color w:val="4A3A2C"/>
                <w:sz w:val="17"/>
              </w:rPr>
              <w:t>Informed after the decision</w:t>
            </w:r>
          </w:p>
        </w:tc>
      </w:tr>
      <w:tr>
        <w:tc>
          <w:tcPr>
            <w:tcW w:type="dxa" w:w="4706"/>
          </w:tcPr>
          <w:p>
            <w:pPr>
              <w:spacing w:before="40" w:after="40" w:line="276" w:lineRule="auto"/>
            </w:pPr>
            <w:r>
              <w:rPr>
                <w:rFonts w:ascii="Jost" w:hAnsi="Jost" w:cs="Jost" w:eastAsia="Jost"/>
                <w:b/>
                <w:i w:val="0"/>
                <w:color w:val="4A3A2C"/>
                <w:sz w:val="17"/>
              </w:rPr>
              <w:t>—</w:t>
            </w:r>
          </w:p>
        </w:tc>
        <w:tc>
          <w:tcPr>
            <w:tcW w:type="dxa" w:w="4706"/>
          </w:tcPr>
          <w:p>
            <w:pPr>
              <w:spacing w:before="40" w:after="40" w:line="276" w:lineRule="auto"/>
            </w:pPr>
            <w:r>
              <w:rPr>
                <w:rFonts w:ascii="Jost" w:hAnsi="Jost" w:cs="Jost" w:eastAsia="Jost"/>
                <w:b w:val="0"/>
                <w:i w:val="0"/>
                <w:color w:val="4A3A2C"/>
                <w:sz w:val="17"/>
              </w:rPr>
              <w:t>No role</w:t>
            </w:r>
          </w:p>
        </w:tc>
      </w:tr>
      <w:tr>
        <w:tc>
          <w:tcPr>
            <w:tcW w:type="dxa" w:w="4706"/>
            <w:shd w:val="clear" w:color="auto" w:fill="FBF5EE"/>
          </w:tcPr>
          <w:p>
            <w:pPr>
              <w:spacing w:before="40" w:after="40" w:line="276" w:lineRule="auto"/>
            </w:pPr>
            <w:r>
              <w:rPr>
                <w:rFonts w:ascii="Jost" w:hAnsi="Jost" w:cs="Jost" w:eastAsia="Jost"/>
                <w:b/>
                <w:i w:val="0"/>
                <w:color w:val="4A3A2C"/>
                <w:sz w:val="17"/>
              </w:rPr>
              <w:t>TBA</w:t>
            </w:r>
          </w:p>
        </w:tc>
        <w:tc>
          <w:tcPr>
            <w:tcW w:type="dxa" w:w="4706"/>
            <w:shd w:val="clear" w:color="auto" w:fill="FBF5EE"/>
          </w:tcPr>
          <w:p>
            <w:pPr>
              <w:spacing w:before="40" w:after="40" w:line="276" w:lineRule="auto"/>
            </w:pPr>
            <w:r>
              <w:rPr>
                <w:rFonts w:ascii="Jost" w:hAnsi="Jost" w:cs="Jost" w:eastAsia="Jost"/>
                <w:b w:val="0"/>
                <w:i w:val="0"/>
                <w:color w:val="A6754C"/>
                <w:sz w:val="17"/>
              </w:rPr>
              <w:t>[To be agreed by the CEOs]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Delegation of Authority matrix</w:t>
      </w:r>
    </w:p>
    <w:p>
      <w:pPr>
        <w:spacing w:before="0" w:after="120" w:line="312" w:lineRule="auto"/>
      </w:pPr>
      <w:r>
        <w:rPr>
          <w:rFonts w:ascii="Jost" w:hAnsi="Jost" w:cs="Jost" w:eastAsia="Jost"/>
          <w:b w:val="0"/>
          <w:i w:val="0"/>
          <w:color w:val="4A3A2C"/>
          <w:sz w:val="20"/>
        </w:rPr>
        <w:t>Spend thresholds are in AED and exclude VAT. Values are placeholders until set by the CEOs.</w:t>
      </w:r>
    </w:p>
    <w:p>
      <w:pPr>
        <w:keepNext/>
        <w:spacing w:before="200" w:after="60" w:line="264" w:lineRule="auto"/>
      </w:pPr>
      <w:r>
        <w:rPr>
          <w:rFonts w:ascii="Jost" w:hAnsi="Jost" w:cs="Jost" w:eastAsia="Jost"/>
          <w:b/>
          <w:color w:val="A6754C"/>
          <w:sz w:val="17"/>
        </w:rPr>
        <w:t>4.1 PEOPLE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Decision area</w:t>
            </w:r>
          </w:p>
        </w:tc>
        <w:tc>
          <w:tcPr>
            <w:tcW w:type="dxa" w:w="1882"/>
            <w:shd w:val="clear" w:color="auto" w:fill="221913"/>
          </w:tcPr>
          <w:p>
            <w:pPr>
              <w:spacing w:before="40" w:after="40" w:line="276" w:lineRule="auto"/>
            </w:pPr>
            <w:r>
              <w:rPr>
                <w:rFonts w:ascii="Jost" w:hAnsi="Jost" w:cs="Jost" w:eastAsia="Jost"/>
                <w:b/>
                <w:i w:val="0"/>
                <w:color w:val="FBF5EE"/>
                <w:sz w:val="17"/>
              </w:rPr>
              <w:t>Founder &amp; CEO</w:t>
            </w:r>
          </w:p>
        </w:tc>
        <w:tc>
          <w:tcPr>
            <w:tcW w:type="dxa" w:w="1882"/>
            <w:shd w:val="clear" w:color="auto" w:fill="221913"/>
          </w:tcPr>
          <w:p>
            <w:pPr>
              <w:spacing w:before="40" w:after="40" w:line="276" w:lineRule="auto"/>
            </w:pPr>
            <w:r>
              <w:rPr>
                <w:rFonts w:ascii="Jost" w:hAnsi="Jost" w:cs="Jost" w:eastAsia="Jost"/>
                <w:b/>
                <w:i w:val="0"/>
                <w:color w:val="FBF5EE"/>
                <w:sz w:val="17"/>
              </w:rPr>
              <w:t>CEO</w:t>
            </w:r>
          </w:p>
        </w:tc>
        <w:tc>
          <w:tcPr>
            <w:tcW w:type="dxa" w:w="1882"/>
            <w:shd w:val="clear" w:color="auto" w:fill="221913"/>
          </w:tcPr>
          <w:p>
            <w:pPr>
              <w:spacing w:before="40" w:after="40" w:line="276" w:lineRule="auto"/>
            </w:pPr>
            <w:r>
              <w:rPr>
                <w:rFonts w:ascii="Jost" w:hAnsi="Jost" w:cs="Jost" w:eastAsia="Jost"/>
                <w:b/>
                <w:i w:val="0"/>
                <w:color w:val="FBF5EE"/>
                <w:sz w:val="17"/>
              </w:rPr>
              <w:t>General Manager</w:t>
            </w:r>
          </w:p>
        </w:tc>
        <w:tc>
          <w:tcPr>
            <w:tcW w:type="dxa" w:w="1882"/>
            <w:shd w:val="clear" w:color="auto" w:fill="221913"/>
          </w:tcPr>
          <w:p>
            <w:pPr>
              <w:spacing w:before="40" w:after="40" w:line="276" w:lineRule="auto"/>
            </w:pPr>
            <w:r>
              <w:rPr>
                <w:rFonts w:ascii="Jost" w:hAnsi="Jost" w:cs="Jost" w:eastAsia="Jost"/>
                <w:b/>
                <w:i w:val="0"/>
                <w:color w:val="FBF5EE"/>
                <w:sz w:val="17"/>
              </w:rPr>
              <w:t>Lead Host</w:t>
            </w:r>
          </w:p>
        </w:tc>
      </w:tr>
      <w:tr>
        <w:tc>
          <w:tcPr>
            <w:tcW w:type="dxa" w:w="1882"/>
          </w:tcPr>
          <w:p>
            <w:pPr>
              <w:spacing w:before="40" w:after="40" w:line="276" w:lineRule="auto"/>
            </w:pPr>
            <w:r>
              <w:rPr>
                <w:rFonts w:ascii="Jost" w:hAnsi="Jost" w:cs="Jost" w:eastAsia="Jost"/>
                <w:b w:val="0"/>
                <w:i w:val="0"/>
                <w:color w:val="4A3A2C"/>
                <w:sz w:val="17"/>
              </w:rPr>
              <w:t>Hiring — General Manager or other senior role</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Hiring — Lead Host, Clinical Lead</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Hiring — Hosts, Guest Relations, Housekeeping</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C</w:t>
            </w:r>
          </w:p>
        </w:tc>
      </w:tr>
      <w:tr>
        <w:tc>
          <w:tcPr>
            <w:tcW w:type="dxa" w:w="1882"/>
            <w:shd w:val="clear" w:color="auto" w:fill="FBF5EE"/>
          </w:tcPr>
          <w:p>
            <w:pPr>
              <w:spacing w:before="40" w:after="40" w:line="276" w:lineRule="auto"/>
            </w:pPr>
            <w:r>
              <w:rPr>
                <w:rFonts w:ascii="Jost" w:hAnsi="Jost" w:cs="Jost" w:eastAsia="Jost"/>
                <w:b w:val="0"/>
                <w:i w:val="0"/>
                <w:color w:val="4A3A2C"/>
                <w:sz w:val="17"/>
              </w:rPr>
              <w:t>Salary and benefits outside approved bands</w:t>
            </w:r>
          </w:p>
        </w:tc>
        <w:tc>
          <w:tcPr>
            <w:tcW w:type="dxa" w:w="1882"/>
            <w:shd w:val="clear" w:color="auto" w:fill="FBF5EE"/>
          </w:tcPr>
          <w:p>
            <w:pPr>
              <w:spacing w:before="40" w:after="40" w:line="276" w:lineRule="auto"/>
            </w:pPr>
            <w:r>
              <w:rPr>
                <w:rFonts w:ascii="Jost" w:hAnsi="Jost" w:cs="Jost" w:eastAsia="Jost"/>
                <w:b w:val="0"/>
                <w:i w:val="0"/>
                <w:color w:val="4A3A2C"/>
                <w:sz w:val="17"/>
              </w:rPr>
              <w:t>TBA</w:t>
            </w:r>
          </w:p>
        </w:tc>
        <w:tc>
          <w:tcPr>
            <w:tcW w:type="dxa" w:w="1882"/>
            <w:shd w:val="clear" w:color="auto" w:fill="FBF5EE"/>
          </w:tcPr>
          <w:p>
            <w:pPr>
              <w:spacing w:before="40" w:after="40" w:line="276" w:lineRule="auto"/>
            </w:pPr>
            <w:r>
              <w:rPr>
                <w:rFonts w:ascii="Jost" w:hAnsi="Jost" w:cs="Jost" w:eastAsia="Jost"/>
                <w:b w:val="0"/>
                <w:i w:val="0"/>
                <w:color w:val="4A3A2C"/>
                <w:sz w:val="17"/>
              </w:rPr>
              <w:t>TBA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Disciplinary warnings — floor team</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Termination — floor team</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r>
      <w:tr>
        <w:tc>
          <w:tcPr>
            <w:tcW w:type="dxa" w:w="1882"/>
          </w:tcPr>
          <w:p>
            <w:pPr>
              <w:spacing w:before="40" w:after="40" w:line="276" w:lineRule="auto"/>
            </w:pPr>
            <w:r>
              <w:rPr>
                <w:rFonts w:ascii="Jost" w:hAnsi="Jost" w:cs="Jost" w:eastAsia="Jost"/>
                <w:b w:val="0"/>
                <w:i w:val="0"/>
                <w:color w:val="4A3A2C"/>
                <w:sz w:val="17"/>
              </w:rPr>
              <w:t>Termination — senior role</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Rota and leave approval</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r>
    </w:tbl>
    <w:p>
      <w:pPr>
        <w:spacing w:before="0" w:after="80" w:line="240" w:lineRule="auto"/>
      </w:pPr>
    </w:p>
    <w:p>
      <w:pPr>
        <w:keepNext/>
        <w:spacing w:before="200" w:after="60" w:line="264" w:lineRule="auto"/>
      </w:pPr>
      <w:r>
        <w:rPr>
          <w:rFonts w:ascii="Jost" w:hAnsi="Jost" w:cs="Jost" w:eastAsia="Jost"/>
          <w:b/>
          <w:color w:val="A6754C"/>
          <w:sz w:val="17"/>
        </w:rPr>
        <w:t>4.2 PRICING, MEMBERSHIPS AND GUEST MONEY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Decision area</w:t>
            </w:r>
          </w:p>
        </w:tc>
        <w:tc>
          <w:tcPr>
            <w:tcW w:type="dxa" w:w="1882"/>
            <w:shd w:val="clear" w:color="auto" w:fill="221913"/>
          </w:tcPr>
          <w:p>
            <w:pPr>
              <w:spacing w:before="40" w:after="40" w:line="276" w:lineRule="auto"/>
            </w:pPr>
            <w:r>
              <w:rPr>
                <w:rFonts w:ascii="Jost" w:hAnsi="Jost" w:cs="Jost" w:eastAsia="Jost"/>
                <w:b/>
                <w:i w:val="0"/>
                <w:color w:val="FBF5EE"/>
                <w:sz w:val="17"/>
              </w:rPr>
              <w:t>Founder &amp; CEO</w:t>
            </w:r>
          </w:p>
        </w:tc>
        <w:tc>
          <w:tcPr>
            <w:tcW w:type="dxa" w:w="1882"/>
            <w:shd w:val="clear" w:color="auto" w:fill="221913"/>
          </w:tcPr>
          <w:p>
            <w:pPr>
              <w:spacing w:before="40" w:after="40" w:line="276" w:lineRule="auto"/>
            </w:pPr>
            <w:r>
              <w:rPr>
                <w:rFonts w:ascii="Jost" w:hAnsi="Jost" w:cs="Jost" w:eastAsia="Jost"/>
                <w:b/>
                <w:i w:val="0"/>
                <w:color w:val="FBF5EE"/>
                <w:sz w:val="17"/>
              </w:rPr>
              <w:t>CEO</w:t>
            </w:r>
          </w:p>
        </w:tc>
        <w:tc>
          <w:tcPr>
            <w:tcW w:type="dxa" w:w="1882"/>
            <w:shd w:val="clear" w:color="auto" w:fill="221913"/>
          </w:tcPr>
          <w:p>
            <w:pPr>
              <w:spacing w:before="40" w:after="40" w:line="276" w:lineRule="auto"/>
            </w:pPr>
            <w:r>
              <w:rPr>
                <w:rFonts w:ascii="Jost" w:hAnsi="Jost" w:cs="Jost" w:eastAsia="Jost"/>
                <w:b/>
                <w:i w:val="0"/>
                <w:color w:val="FBF5EE"/>
                <w:sz w:val="17"/>
              </w:rPr>
              <w:t>General Manager</w:t>
            </w:r>
          </w:p>
        </w:tc>
        <w:tc>
          <w:tcPr>
            <w:tcW w:type="dxa" w:w="1882"/>
            <w:shd w:val="clear" w:color="auto" w:fill="221913"/>
          </w:tcPr>
          <w:p>
            <w:pPr>
              <w:spacing w:before="40" w:after="40" w:line="276" w:lineRule="auto"/>
            </w:pPr>
            <w:r>
              <w:rPr>
                <w:rFonts w:ascii="Jost" w:hAnsi="Jost" w:cs="Jost" w:eastAsia="Jost"/>
                <w:b/>
                <w:i w:val="0"/>
                <w:color w:val="FBF5EE"/>
                <w:sz w:val="17"/>
              </w:rPr>
              <w:t>Lead Host</w:t>
            </w:r>
          </w:p>
        </w:tc>
      </w:tr>
      <w:tr>
        <w:tc>
          <w:tcPr>
            <w:tcW w:type="dxa" w:w="1882"/>
          </w:tcPr>
          <w:p>
            <w:pPr>
              <w:spacing w:before="40" w:after="40" w:line="276" w:lineRule="auto"/>
            </w:pPr>
            <w:r>
              <w:rPr>
                <w:rFonts w:ascii="Jost" w:hAnsi="Jost" w:cs="Jost" w:eastAsia="Jost"/>
                <w:b w:val="0"/>
                <w:i w:val="0"/>
                <w:color w:val="4A3A2C"/>
                <w:sz w:val="17"/>
              </w:rPr>
              <w:t>Price list for modalities and memberships</w:t>
            </w:r>
          </w:p>
        </w:tc>
        <w:tc>
          <w:tcPr>
            <w:tcW w:type="dxa" w:w="1882"/>
          </w:tcPr>
          <w:p>
            <w:pPr>
              <w:spacing w:before="40" w:after="40" w:line="276" w:lineRule="auto"/>
            </w:pPr>
            <w:r>
              <w:rPr>
                <w:rFonts w:ascii="Jost" w:hAnsi="Jost" w:cs="Jost" w:eastAsia="Jost"/>
                <w:b w:val="0"/>
                <w:i w:val="0"/>
                <w:color w:val="4A3A2C"/>
                <w:sz w:val="17"/>
              </w:rPr>
              <w:t>TBA</w:t>
            </w:r>
          </w:p>
        </w:tc>
        <w:tc>
          <w:tcPr>
            <w:tcW w:type="dxa" w:w="1882"/>
          </w:tcPr>
          <w:p>
            <w:pPr>
              <w:spacing w:before="40" w:after="40" w:line="276" w:lineRule="auto"/>
            </w:pPr>
            <w:r>
              <w:rPr>
                <w:rFonts w:ascii="Jost" w:hAnsi="Jost" w:cs="Jost" w:eastAsia="Jost"/>
                <w:b w:val="0"/>
                <w:i w:val="0"/>
                <w:color w:val="4A3A2C"/>
                <w:sz w:val="17"/>
              </w:rPr>
              <w:t>TBA</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I</w:t>
            </w:r>
          </w:p>
        </w:tc>
      </w:tr>
      <w:tr>
        <w:tc>
          <w:tcPr>
            <w:tcW w:type="dxa" w:w="1882"/>
            <w:shd w:val="clear" w:color="auto" w:fill="FBF5EE"/>
          </w:tcPr>
          <w:p>
            <w:pPr>
              <w:spacing w:before="40" w:after="40" w:line="276" w:lineRule="auto"/>
            </w:pPr>
            <w:r>
              <w:rPr>
                <w:rFonts w:ascii="Jost" w:hAnsi="Jost" w:cs="Jost" w:eastAsia="Jost"/>
                <w:b w:val="0"/>
                <w:i w:val="0"/>
                <w:color w:val="4A3A2C"/>
                <w:sz w:val="17"/>
              </w:rPr>
              <w:t>Founding-member terms (first 100)</w:t>
            </w:r>
          </w:p>
        </w:tc>
        <w:tc>
          <w:tcPr>
            <w:tcW w:type="dxa" w:w="1882"/>
            <w:shd w:val="clear" w:color="auto" w:fill="FBF5EE"/>
          </w:tcPr>
          <w:p>
            <w:pPr>
              <w:spacing w:before="40" w:after="40" w:line="276" w:lineRule="auto"/>
            </w:pPr>
            <w:r>
              <w:rPr>
                <w:rFonts w:ascii="Jost" w:hAnsi="Jost" w:cs="Jost" w:eastAsia="Jost"/>
                <w:b w:val="0"/>
                <w:i w:val="0"/>
                <w:color w:val="4A3A2C"/>
                <w:sz w:val="17"/>
              </w:rPr>
              <w:t>A (joint)</w:t>
            </w:r>
          </w:p>
        </w:tc>
        <w:tc>
          <w:tcPr>
            <w:tcW w:type="dxa" w:w="1882"/>
            <w:shd w:val="clear" w:color="auto" w:fill="FBF5EE"/>
          </w:tcPr>
          <w:p>
            <w:pPr>
              <w:spacing w:before="40" w:after="40" w:line="276" w:lineRule="auto"/>
            </w:pPr>
            <w:r>
              <w:rPr>
                <w:rFonts w:ascii="Jost" w:hAnsi="Jost" w:cs="Jost" w:eastAsia="Jost"/>
                <w:b w:val="0"/>
                <w:i w:val="0"/>
                <w:color w:val="4A3A2C"/>
                <w:sz w:val="17"/>
              </w:rPr>
              <w:t>A (joint)</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r>
      <w:tr>
        <w:tc>
          <w:tcPr>
            <w:tcW w:type="dxa" w:w="1882"/>
          </w:tcPr>
          <w:p>
            <w:pPr>
              <w:spacing w:before="40" w:after="40" w:line="276" w:lineRule="auto"/>
            </w:pPr>
            <w:r>
              <w:rPr>
                <w:rFonts w:ascii="Jost" w:hAnsi="Jost" w:cs="Jost" w:eastAsia="Jost"/>
                <w:b w:val="0"/>
                <w:i w:val="0"/>
                <w:color w:val="4A3A2C"/>
                <w:sz w:val="17"/>
              </w:rPr>
              <w:t>Promotions and discount campaigns</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I</w:t>
            </w:r>
          </w:p>
        </w:tc>
      </w:tr>
      <w:tr>
        <w:tc>
          <w:tcPr>
            <w:tcW w:type="dxa" w:w="1882"/>
            <w:shd w:val="clear" w:color="auto" w:fill="FBF5EE"/>
          </w:tcPr>
          <w:p>
            <w:pPr>
              <w:spacing w:before="40" w:after="40" w:line="276" w:lineRule="auto"/>
            </w:pPr>
            <w:r>
              <w:rPr>
                <w:rFonts w:ascii="Jost" w:hAnsi="Jost" w:cs="Jost" w:eastAsia="Jost"/>
                <w:b w:val="0"/>
                <w:i w:val="0"/>
                <w:color w:val="4A3A2C"/>
                <w:sz w:val="17"/>
              </w:rPr>
              <w:t xml:space="preserve">Individual discount or comp up to AED </w:t>
            </w:r>
            <w:r>
              <w:rPr>
                <w:rFonts w:ascii="Jost" w:hAnsi="Jost" w:cs="Jost" w:eastAsia="Jost"/>
                <w:b w:val="0"/>
                <w:i w:val="0"/>
                <w:color w:val="A6754C"/>
                <w:sz w:val="17"/>
              </w:rPr>
              <w:t>[___]</w:t>
            </w:r>
            <w:r>
              <w:rPr>
                <w:rFonts w:ascii="Jost" w:hAnsi="Jost" w:cs="Jost" w:eastAsia="Jost"/>
                <w:b w:val="0"/>
                <w:i w:val="0"/>
                <w:color w:val="4A3A2C"/>
                <w:sz w:val="17"/>
              </w:rPr>
              <w:t xml:space="preserve"> per guest visit</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r>
      <w:tr>
        <w:tc>
          <w:tcPr>
            <w:tcW w:type="dxa" w:w="1882"/>
          </w:tcPr>
          <w:p>
            <w:pPr>
              <w:spacing w:before="40" w:after="40" w:line="276" w:lineRule="auto"/>
            </w:pPr>
            <w:r>
              <w:rPr>
                <w:rFonts w:ascii="Jost" w:hAnsi="Jost" w:cs="Jost" w:eastAsia="Jost"/>
                <w:b w:val="0"/>
                <w:i w:val="0"/>
                <w:color w:val="4A3A2C"/>
                <w:sz w:val="17"/>
              </w:rPr>
              <w:t xml:space="preserve">Individual discount or comp up to 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 xml:space="preserve">Individual discount or comp above AED </w:t>
            </w: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TBA</w:t>
            </w:r>
          </w:p>
        </w:tc>
        <w:tc>
          <w:tcPr>
            <w:tcW w:type="dxa" w:w="1882"/>
            <w:shd w:val="clear" w:color="auto" w:fill="FBF5EE"/>
          </w:tcPr>
          <w:p>
            <w:pPr>
              <w:spacing w:before="40" w:after="40" w:line="276" w:lineRule="auto"/>
            </w:pPr>
            <w:r>
              <w:rPr>
                <w:rFonts w:ascii="Jost" w:hAnsi="Jost" w:cs="Jost" w:eastAsia="Jost"/>
                <w:b w:val="0"/>
                <w:i w:val="0"/>
                <w:color w:val="4A3A2C"/>
                <w:sz w:val="17"/>
              </w:rPr>
              <w:t>TBA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 xml:space="preserve">Refund up to 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 xml:space="preserve">Refund above AED </w:t>
            </w: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Membership pause or cancellation outside standard terms</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Guest passes beyond membership allowance</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r>
    </w:tbl>
    <w:p>
      <w:pPr>
        <w:spacing w:before="0" w:after="80" w:line="240" w:lineRule="auto"/>
      </w:pPr>
    </w:p>
    <w:p>
      <w:pPr>
        <w:keepNext/>
        <w:spacing w:before="200" w:after="60" w:line="264" w:lineRule="auto"/>
      </w:pPr>
      <w:r>
        <w:rPr>
          <w:rFonts w:ascii="Jost" w:hAnsi="Jost" w:cs="Jost" w:eastAsia="Jost"/>
          <w:b/>
          <w:color w:val="A6754C"/>
          <w:sz w:val="17"/>
        </w:rPr>
        <w:t>4.3 SPEND AND CONTRACTS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Decision area</w:t>
            </w:r>
          </w:p>
        </w:tc>
        <w:tc>
          <w:tcPr>
            <w:tcW w:type="dxa" w:w="1882"/>
            <w:shd w:val="clear" w:color="auto" w:fill="221913"/>
          </w:tcPr>
          <w:p>
            <w:pPr>
              <w:spacing w:before="40" w:after="40" w:line="276" w:lineRule="auto"/>
            </w:pPr>
            <w:r>
              <w:rPr>
                <w:rFonts w:ascii="Jost" w:hAnsi="Jost" w:cs="Jost" w:eastAsia="Jost"/>
                <w:b/>
                <w:i w:val="0"/>
                <w:color w:val="FBF5EE"/>
                <w:sz w:val="17"/>
              </w:rPr>
              <w:t>Founder &amp; CEO</w:t>
            </w:r>
          </w:p>
        </w:tc>
        <w:tc>
          <w:tcPr>
            <w:tcW w:type="dxa" w:w="1882"/>
            <w:shd w:val="clear" w:color="auto" w:fill="221913"/>
          </w:tcPr>
          <w:p>
            <w:pPr>
              <w:spacing w:before="40" w:after="40" w:line="276" w:lineRule="auto"/>
            </w:pPr>
            <w:r>
              <w:rPr>
                <w:rFonts w:ascii="Jost" w:hAnsi="Jost" w:cs="Jost" w:eastAsia="Jost"/>
                <w:b/>
                <w:i w:val="0"/>
                <w:color w:val="FBF5EE"/>
                <w:sz w:val="17"/>
              </w:rPr>
              <w:t>CEO</w:t>
            </w:r>
          </w:p>
        </w:tc>
        <w:tc>
          <w:tcPr>
            <w:tcW w:type="dxa" w:w="1882"/>
            <w:shd w:val="clear" w:color="auto" w:fill="221913"/>
          </w:tcPr>
          <w:p>
            <w:pPr>
              <w:spacing w:before="40" w:after="40" w:line="276" w:lineRule="auto"/>
            </w:pPr>
            <w:r>
              <w:rPr>
                <w:rFonts w:ascii="Jost" w:hAnsi="Jost" w:cs="Jost" w:eastAsia="Jost"/>
                <w:b/>
                <w:i w:val="0"/>
                <w:color w:val="FBF5EE"/>
                <w:sz w:val="17"/>
              </w:rPr>
              <w:t>General Manager</w:t>
            </w:r>
          </w:p>
        </w:tc>
        <w:tc>
          <w:tcPr>
            <w:tcW w:type="dxa" w:w="1882"/>
            <w:shd w:val="clear" w:color="auto" w:fill="221913"/>
          </w:tcPr>
          <w:p>
            <w:pPr>
              <w:spacing w:before="40" w:after="40" w:line="276" w:lineRule="auto"/>
            </w:pPr>
            <w:r>
              <w:rPr>
                <w:rFonts w:ascii="Jost" w:hAnsi="Jost" w:cs="Jost" w:eastAsia="Jost"/>
                <w:b/>
                <w:i w:val="0"/>
                <w:color w:val="FBF5EE"/>
                <w:sz w:val="17"/>
              </w:rPr>
              <w:t>Lead Host</w:t>
            </w:r>
          </w:p>
        </w:tc>
      </w:tr>
      <w:tr>
        <w:tc>
          <w:tcPr>
            <w:tcW w:type="dxa" w:w="1882"/>
          </w:tcPr>
          <w:p>
            <w:pPr>
              <w:spacing w:before="40" w:after="40" w:line="276" w:lineRule="auto"/>
            </w:pPr>
            <w:r>
              <w:rPr>
                <w:rFonts w:ascii="Jost" w:hAnsi="Jost" w:cs="Jost" w:eastAsia="Jost"/>
                <w:b w:val="0"/>
                <w:i w:val="0"/>
                <w:color w:val="4A3A2C"/>
                <w:sz w:val="17"/>
              </w:rPr>
              <w:t xml:space="preserve">Budgeted spend up to 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 xml:space="preserve">Budgeted spend AED </w:t>
            </w:r>
            <w:r>
              <w:rPr>
                <w:rFonts w:ascii="Jost" w:hAnsi="Jost" w:cs="Jost" w:eastAsia="Jost"/>
                <w:b w:val="0"/>
                <w:i w:val="0"/>
                <w:color w:val="A6754C"/>
                <w:sz w:val="17"/>
              </w:rPr>
              <w:t>[___]</w:t>
            </w:r>
            <w:r>
              <w:rPr>
                <w:rFonts w:ascii="Jost" w:hAnsi="Jost" w:cs="Jost" w:eastAsia="Jost"/>
                <w:b w:val="0"/>
                <w:i w:val="0"/>
                <w:color w:val="4A3A2C"/>
                <w:sz w:val="17"/>
              </w:rPr>
              <w:t xml:space="preserve"> to AED </w:t>
            </w: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 xml:space="preserve">Budgeted spend above 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 xml:space="preserve">Any unbudgeted spend above AED </w:t>
            </w: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A (joint)</w:t>
            </w:r>
          </w:p>
        </w:tc>
        <w:tc>
          <w:tcPr>
            <w:tcW w:type="dxa" w:w="1882"/>
            <w:shd w:val="clear" w:color="auto" w:fill="FBF5EE"/>
          </w:tcPr>
          <w:p>
            <w:pPr>
              <w:spacing w:before="40" w:after="40" w:line="276" w:lineRule="auto"/>
            </w:pPr>
            <w:r>
              <w:rPr>
                <w:rFonts w:ascii="Jost" w:hAnsi="Jost" w:cs="Jost" w:eastAsia="Jost"/>
                <w:b w:val="0"/>
                <w:i w:val="0"/>
                <w:color w:val="4A3A2C"/>
                <w:sz w:val="17"/>
              </w:rPr>
              <w:t>A (joint)</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 xml:space="preserve">Petty cash up to AED </w:t>
            </w: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 xml:space="preserve">Supplier contracts under 12 months and below AED </w:t>
            </w: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r>
      <w:tr>
        <w:tc>
          <w:tcPr>
            <w:tcW w:type="dxa" w:w="1882"/>
          </w:tcPr>
          <w:p>
            <w:pPr>
              <w:spacing w:before="40" w:after="40" w:line="276" w:lineRule="auto"/>
            </w:pPr>
            <w:r>
              <w:rPr>
                <w:rFonts w:ascii="Jost" w:hAnsi="Jost" w:cs="Jost" w:eastAsia="Jost"/>
                <w:b w:val="0"/>
                <w:i w:val="0"/>
                <w:color w:val="4A3A2C"/>
                <w:sz w:val="17"/>
              </w:rPr>
              <w:t>Supplier contracts above that value or term</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Elevé Health agreements, equipment and protocol changes</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r>
      <w:tr>
        <w:tc>
          <w:tcPr>
            <w:tcW w:type="dxa" w:w="1882"/>
          </w:tcPr>
          <w:p>
            <w:pPr>
              <w:spacing w:before="40" w:after="40" w:line="276" w:lineRule="auto"/>
            </w:pPr>
            <w:r>
              <w:rPr>
                <w:rFonts w:ascii="Jost" w:hAnsi="Jost" w:cs="Jost" w:eastAsia="Jost"/>
                <w:b w:val="0"/>
                <w:i w:val="0"/>
                <w:color w:val="4A3A2C"/>
                <w:sz w:val="17"/>
              </w:rPr>
              <w:t>Lease, landlord and fit-out contracts</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Insurance placement and renewal</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Bank signatories and payment release</w:t>
            </w:r>
          </w:p>
        </w:tc>
        <w:tc>
          <w:tcPr>
            <w:tcW w:type="dxa" w:w="1882"/>
          </w:tcPr>
          <w:p>
            <w:pPr>
              <w:spacing w:before="40" w:after="40" w:line="276" w:lineRule="auto"/>
            </w:pPr>
            <w:r>
              <w:rPr>
                <w:rFonts w:ascii="Jost" w:hAnsi="Jost" w:cs="Jost" w:eastAsia="Jost"/>
                <w:b w:val="0"/>
                <w:i w:val="0"/>
                <w:color w:val="4A3A2C"/>
                <w:sz w:val="17"/>
              </w:rPr>
              <w:t>TBA</w:t>
            </w:r>
          </w:p>
        </w:tc>
        <w:tc>
          <w:tcPr>
            <w:tcW w:type="dxa" w:w="1882"/>
          </w:tcPr>
          <w:p>
            <w:pPr>
              <w:spacing w:before="40" w:after="40" w:line="276" w:lineRule="auto"/>
            </w:pPr>
            <w:r>
              <w:rPr>
                <w:rFonts w:ascii="Jost" w:hAnsi="Jost" w:cs="Jost" w:eastAsia="Jost"/>
                <w:b w:val="0"/>
                <w:i w:val="0"/>
                <w:color w:val="4A3A2C"/>
                <w:sz w:val="17"/>
              </w:rPr>
              <w:t>TBA</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w:t>
            </w:r>
          </w:p>
        </w:tc>
      </w:tr>
    </w:tbl>
    <w:p>
      <w:pPr>
        <w:spacing w:before="0" w:after="80" w:line="240" w:lineRule="auto"/>
      </w:pPr>
    </w:p>
    <w:p>
      <w:pPr>
        <w:keepNext/>
        <w:spacing w:before="200" w:after="60" w:line="264" w:lineRule="auto"/>
      </w:pPr>
      <w:r>
        <w:rPr>
          <w:rFonts w:ascii="Jost" w:hAnsi="Jost" w:cs="Jost" w:eastAsia="Jost"/>
          <w:b/>
          <w:color w:val="A6754C"/>
          <w:sz w:val="17"/>
        </w:rPr>
        <w:t>4.4 BRAND, MARKETING AND COMMUNICATIONS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Decision area</w:t>
            </w:r>
          </w:p>
        </w:tc>
        <w:tc>
          <w:tcPr>
            <w:tcW w:type="dxa" w:w="1882"/>
            <w:shd w:val="clear" w:color="auto" w:fill="221913"/>
          </w:tcPr>
          <w:p>
            <w:pPr>
              <w:spacing w:before="40" w:after="40" w:line="276" w:lineRule="auto"/>
            </w:pPr>
            <w:r>
              <w:rPr>
                <w:rFonts w:ascii="Jost" w:hAnsi="Jost" w:cs="Jost" w:eastAsia="Jost"/>
                <w:b/>
                <w:i w:val="0"/>
                <w:color w:val="FBF5EE"/>
                <w:sz w:val="17"/>
              </w:rPr>
              <w:t>Founder &amp; CEO</w:t>
            </w:r>
          </w:p>
        </w:tc>
        <w:tc>
          <w:tcPr>
            <w:tcW w:type="dxa" w:w="1882"/>
            <w:shd w:val="clear" w:color="auto" w:fill="221913"/>
          </w:tcPr>
          <w:p>
            <w:pPr>
              <w:spacing w:before="40" w:after="40" w:line="276" w:lineRule="auto"/>
            </w:pPr>
            <w:r>
              <w:rPr>
                <w:rFonts w:ascii="Jost" w:hAnsi="Jost" w:cs="Jost" w:eastAsia="Jost"/>
                <w:b/>
                <w:i w:val="0"/>
                <w:color w:val="FBF5EE"/>
                <w:sz w:val="17"/>
              </w:rPr>
              <w:t>CEO</w:t>
            </w:r>
          </w:p>
        </w:tc>
        <w:tc>
          <w:tcPr>
            <w:tcW w:type="dxa" w:w="1882"/>
            <w:shd w:val="clear" w:color="auto" w:fill="221913"/>
          </w:tcPr>
          <w:p>
            <w:pPr>
              <w:spacing w:before="40" w:after="40" w:line="276" w:lineRule="auto"/>
            </w:pPr>
            <w:r>
              <w:rPr>
                <w:rFonts w:ascii="Jost" w:hAnsi="Jost" w:cs="Jost" w:eastAsia="Jost"/>
                <w:b/>
                <w:i w:val="0"/>
                <w:color w:val="FBF5EE"/>
                <w:sz w:val="17"/>
              </w:rPr>
              <w:t>General Manager</w:t>
            </w:r>
          </w:p>
        </w:tc>
        <w:tc>
          <w:tcPr>
            <w:tcW w:type="dxa" w:w="1882"/>
            <w:shd w:val="clear" w:color="auto" w:fill="221913"/>
          </w:tcPr>
          <w:p>
            <w:pPr>
              <w:spacing w:before="40" w:after="40" w:line="276" w:lineRule="auto"/>
            </w:pPr>
            <w:r>
              <w:rPr>
                <w:rFonts w:ascii="Jost" w:hAnsi="Jost" w:cs="Jost" w:eastAsia="Jost"/>
                <w:b/>
                <w:i w:val="0"/>
                <w:color w:val="FBF5EE"/>
                <w:sz w:val="17"/>
              </w:rPr>
              <w:t>Lead Host</w:t>
            </w:r>
          </w:p>
        </w:tc>
      </w:tr>
      <w:tr>
        <w:tc>
          <w:tcPr>
            <w:tcW w:type="dxa" w:w="1882"/>
          </w:tcPr>
          <w:p>
            <w:pPr>
              <w:spacing w:before="40" w:after="40" w:line="276" w:lineRule="auto"/>
            </w:pPr>
            <w:r>
              <w:rPr>
                <w:rFonts w:ascii="Jost" w:hAnsi="Jost" w:cs="Jost" w:eastAsia="Jost"/>
                <w:b w:val="0"/>
                <w:i w:val="0"/>
                <w:color w:val="4A3A2C"/>
                <w:sz w:val="17"/>
              </w:rPr>
              <w:t>Brand guidelines and logo use</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I</w:t>
            </w:r>
          </w:p>
        </w:tc>
      </w:tr>
      <w:tr>
        <w:tc>
          <w:tcPr>
            <w:tcW w:type="dxa" w:w="1882"/>
            <w:shd w:val="clear" w:color="auto" w:fill="FBF5EE"/>
          </w:tcPr>
          <w:p>
            <w:pPr>
              <w:spacing w:before="40" w:after="40" w:line="276" w:lineRule="auto"/>
            </w:pPr>
            <w:r>
              <w:rPr>
                <w:rFonts w:ascii="Jost" w:hAnsi="Jost" w:cs="Jost" w:eastAsia="Jost"/>
                <w:b w:val="0"/>
                <w:i w:val="0"/>
                <w:color w:val="4A3A2C"/>
                <w:sz w:val="17"/>
              </w:rPr>
              <w:t>Campaigns, launch event and paid media</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r>
      <w:tr>
        <w:tc>
          <w:tcPr>
            <w:tcW w:type="dxa" w:w="1882"/>
          </w:tcPr>
          <w:p>
            <w:pPr>
              <w:spacing w:before="40" w:after="40" w:line="276" w:lineRule="auto"/>
            </w:pPr>
            <w:r>
              <w:rPr>
                <w:rFonts w:ascii="Jost" w:hAnsi="Jost" w:cs="Jost" w:eastAsia="Jost"/>
                <w:b w:val="0"/>
                <w:i w:val="0"/>
                <w:color w:val="4A3A2C"/>
                <w:sz w:val="17"/>
              </w:rPr>
              <w:t>Social posts within approved guidelines</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C</w:t>
            </w:r>
          </w:p>
        </w:tc>
      </w:tr>
      <w:tr>
        <w:tc>
          <w:tcPr>
            <w:tcW w:type="dxa" w:w="1882"/>
            <w:shd w:val="clear" w:color="auto" w:fill="FBF5EE"/>
          </w:tcPr>
          <w:p>
            <w:pPr>
              <w:spacing w:before="40" w:after="40" w:line="276" w:lineRule="auto"/>
            </w:pPr>
            <w:r>
              <w:rPr>
                <w:rFonts w:ascii="Jost" w:hAnsi="Jost" w:cs="Jost" w:eastAsia="Jost"/>
                <w:b w:val="0"/>
                <w:i w:val="0"/>
                <w:color w:val="4A3A2C"/>
                <w:sz w:val="17"/>
              </w:rPr>
              <w:t>Influencer, partner and corporate collaborations</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Any wording that could read as a medical claim</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Media statements and interviews</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Crisis or incident statements</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A (joint)</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Wording that could read as a medical claim is also reviewed by the Clinical Lead before release.</w:t>
      </w:r>
    </w:p>
    <w:p>
      <w:pPr>
        <w:keepNext/>
        <w:spacing w:before="200" w:after="60" w:line="264" w:lineRule="auto"/>
      </w:pPr>
      <w:r>
        <w:rPr>
          <w:rFonts w:ascii="Jost" w:hAnsi="Jost" w:cs="Jost" w:eastAsia="Jost"/>
          <w:b/>
          <w:color w:val="A6754C"/>
          <w:sz w:val="17"/>
        </w:rPr>
        <w:t>4.5 POLICY, COMPLIANCE AND INCIDENTS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Decision area</w:t>
            </w:r>
          </w:p>
        </w:tc>
        <w:tc>
          <w:tcPr>
            <w:tcW w:type="dxa" w:w="1882"/>
            <w:shd w:val="clear" w:color="auto" w:fill="221913"/>
          </w:tcPr>
          <w:p>
            <w:pPr>
              <w:spacing w:before="40" w:after="40" w:line="276" w:lineRule="auto"/>
            </w:pPr>
            <w:r>
              <w:rPr>
                <w:rFonts w:ascii="Jost" w:hAnsi="Jost" w:cs="Jost" w:eastAsia="Jost"/>
                <w:b/>
                <w:i w:val="0"/>
                <w:color w:val="FBF5EE"/>
                <w:sz w:val="17"/>
              </w:rPr>
              <w:t>Founder &amp; CEO</w:t>
            </w:r>
          </w:p>
        </w:tc>
        <w:tc>
          <w:tcPr>
            <w:tcW w:type="dxa" w:w="1882"/>
            <w:shd w:val="clear" w:color="auto" w:fill="221913"/>
          </w:tcPr>
          <w:p>
            <w:pPr>
              <w:spacing w:before="40" w:after="40" w:line="276" w:lineRule="auto"/>
            </w:pPr>
            <w:r>
              <w:rPr>
                <w:rFonts w:ascii="Jost" w:hAnsi="Jost" w:cs="Jost" w:eastAsia="Jost"/>
                <w:b/>
                <w:i w:val="0"/>
                <w:color w:val="FBF5EE"/>
                <w:sz w:val="17"/>
              </w:rPr>
              <w:t>CEO</w:t>
            </w:r>
          </w:p>
        </w:tc>
        <w:tc>
          <w:tcPr>
            <w:tcW w:type="dxa" w:w="1882"/>
            <w:shd w:val="clear" w:color="auto" w:fill="221913"/>
          </w:tcPr>
          <w:p>
            <w:pPr>
              <w:spacing w:before="40" w:after="40" w:line="276" w:lineRule="auto"/>
            </w:pPr>
            <w:r>
              <w:rPr>
                <w:rFonts w:ascii="Jost" w:hAnsi="Jost" w:cs="Jost" w:eastAsia="Jost"/>
                <w:b/>
                <w:i w:val="0"/>
                <w:color w:val="FBF5EE"/>
                <w:sz w:val="17"/>
              </w:rPr>
              <w:t>General Manager</w:t>
            </w:r>
          </w:p>
        </w:tc>
        <w:tc>
          <w:tcPr>
            <w:tcW w:type="dxa" w:w="1882"/>
            <w:shd w:val="clear" w:color="auto" w:fill="221913"/>
          </w:tcPr>
          <w:p>
            <w:pPr>
              <w:spacing w:before="40" w:after="40" w:line="276" w:lineRule="auto"/>
            </w:pPr>
            <w:r>
              <w:rPr>
                <w:rFonts w:ascii="Jost" w:hAnsi="Jost" w:cs="Jost" w:eastAsia="Jost"/>
                <w:b/>
                <w:i w:val="0"/>
                <w:color w:val="FBF5EE"/>
                <w:sz w:val="17"/>
              </w:rPr>
              <w:t>Lead Host</w:t>
            </w:r>
          </w:p>
        </w:tc>
      </w:tr>
      <w:tr>
        <w:tc>
          <w:tcPr>
            <w:tcW w:type="dxa" w:w="1882"/>
          </w:tcPr>
          <w:p>
            <w:pPr>
              <w:spacing w:before="40" w:after="40" w:line="276" w:lineRule="auto"/>
            </w:pPr>
            <w:r>
              <w:rPr>
                <w:rFonts w:ascii="Jost" w:hAnsi="Jost" w:cs="Jost" w:eastAsia="Jost"/>
                <w:b w:val="0"/>
                <w:i w:val="0"/>
                <w:color w:val="4A3A2C"/>
                <w:sz w:val="17"/>
              </w:rPr>
              <w:t>Company policies and handbook</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I</w:t>
            </w:r>
          </w:p>
        </w:tc>
      </w:tr>
      <w:tr>
        <w:tc>
          <w:tcPr>
            <w:tcW w:type="dxa" w:w="1882"/>
            <w:shd w:val="clear" w:color="auto" w:fill="FBF5EE"/>
          </w:tcPr>
          <w:p>
            <w:pPr>
              <w:spacing w:before="40" w:after="40" w:line="276" w:lineRule="auto"/>
            </w:pPr>
            <w:r>
              <w:rPr>
                <w:rFonts w:ascii="Jost" w:hAnsi="Jost" w:cs="Jost" w:eastAsia="Jost"/>
                <w:b w:val="0"/>
                <w:i w:val="0"/>
                <w:color w:val="4A3A2C"/>
                <w:sz w:val="17"/>
              </w:rPr>
              <w:t>Standard operating procedures and modality protocols</w:t>
            </w:r>
          </w:p>
        </w:tc>
        <w:tc>
          <w:tcPr>
            <w:tcW w:type="dxa" w:w="1882"/>
            <w:shd w:val="clear" w:color="auto" w:fill="FBF5EE"/>
          </w:tcPr>
          <w:p>
            <w:pPr>
              <w:spacing w:before="40" w:after="40" w:line="276" w:lineRule="auto"/>
            </w:pPr>
            <w:r>
              <w:rPr>
                <w:rFonts w:ascii="Jost" w:hAnsi="Jost" w:cs="Jost" w:eastAsia="Jost"/>
                <w:b w:val="0"/>
                <w:i w:val="0"/>
                <w:color w:val="4A3A2C"/>
                <w:sz w:val="17"/>
              </w:rPr>
              <w:t>C</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r>
      <w:tr>
        <w:tc>
          <w:tcPr>
            <w:tcW w:type="dxa" w:w="1882"/>
          </w:tcPr>
          <w:p>
            <w:pPr>
              <w:spacing w:before="40" w:after="40" w:line="276" w:lineRule="auto"/>
            </w:pPr>
            <w:r>
              <w:rPr>
                <w:rFonts w:ascii="Jost" w:hAnsi="Jost" w:cs="Jost" w:eastAsia="Jost"/>
                <w:b w:val="0"/>
                <w:i w:val="0"/>
                <w:color w:val="4A3A2C"/>
                <w:sz w:val="17"/>
              </w:rPr>
              <w:t>Clinical protocols (IV, hyperbaric)</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C</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Data protection (PDPL) and guest record access</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r>
      <w:tr>
        <w:tc>
          <w:tcPr>
            <w:tcW w:type="dxa" w:w="1882"/>
          </w:tcPr>
          <w:p>
            <w:pPr>
              <w:spacing w:before="40" w:after="40" w:line="276" w:lineRule="auto"/>
            </w:pPr>
            <w:r>
              <w:rPr>
                <w:rFonts w:ascii="Jost" w:hAnsi="Jost" w:cs="Jost" w:eastAsia="Jost"/>
                <w:b w:val="0"/>
                <w:i w:val="0"/>
                <w:color w:val="4A3A2C"/>
                <w:sz w:val="17"/>
              </w:rPr>
              <w:t>Licences and regulatory filings</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Incident — minor (no injury, guest concern)</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I</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r>
      <w:tr>
        <w:tc>
          <w:tcPr>
            <w:tcW w:type="dxa" w:w="1882"/>
          </w:tcPr>
          <w:p>
            <w:pPr>
              <w:spacing w:before="40" w:after="40" w:line="276" w:lineRule="auto"/>
            </w:pPr>
            <w:r>
              <w:rPr>
                <w:rFonts w:ascii="Jost" w:hAnsi="Jost" w:cs="Jost" w:eastAsia="Jost"/>
                <w:b w:val="0"/>
                <w:i w:val="0"/>
                <w:color w:val="4A3A2C"/>
                <w:sz w:val="17"/>
              </w:rPr>
              <w:t>Incident — moderate (first aid, equipment fault, complaint)</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r>
        <w:tc>
          <w:tcPr>
            <w:tcW w:type="dxa" w:w="1882"/>
            <w:shd w:val="clear" w:color="auto" w:fill="FBF5EE"/>
          </w:tcPr>
          <w:p>
            <w:pPr>
              <w:spacing w:before="40" w:after="40" w:line="276" w:lineRule="auto"/>
            </w:pPr>
            <w:r>
              <w:rPr>
                <w:rFonts w:ascii="Jost" w:hAnsi="Jost" w:cs="Jost" w:eastAsia="Jost"/>
                <w:b w:val="0"/>
                <w:i w:val="0"/>
                <w:color w:val="4A3A2C"/>
                <w:sz w:val="17"/>
              </w:rPr>
              <w:t>Incident — serious (injury, clinical event, regulator contact)</w:t>
            </w:r>
          </w:p>
        </w:tc>
        <w:tc>
          <w:tcPr>
            <w:tcW w:type="dxa" w:w="1882"/>
            <w:shd w:val="clear" w:color="auto" w:fill="FBF5EE"/>
          </w:tcPr>
          <w:p>
            <w:pPr>
              <w:spacing w:before="40" w:after="40" w:line="276" w:lineRule="auto"/>
            </w:pPr>
            <w:r>
              <w:rPr>
                <w:rFonts w:ascii="Jost" w:hAnsi="Jost" w:cs="Jost" w:eastAsia="Jost"/>
                <w:b w:val="0"/>
                <w:i w:val="0"/>
                <w:color w:val="4A3A2C"/>
                <w:sz w:val="17"/>
              </w:rPr>
              <w:t>I (within 1 hour)</w:t>
            </w:r>
          </w:p>
        </w:tc>
        <w:tc>
          <w:tcPr>
            <w:tcW w:type="dxa" w:w="1882"/>
            <w:shd w:val="clear" w:color="auto" w:fill="FBF5EE"/>
          </w:tcPr>
          <w:p>
            <w:pPr>
              <w:spacing w:before="40" w:after="40" w:line="276" w:lineRule="auto"/>
            </w:pPr>
            <w:r>
              <w:rPr>
                <w:rFonts w:ascii="Jost" w:hAnsi="Jost" w:cs="Jost" w:eastAsia="Jost"/>
                <w:b w:val="0"/>
                <w:i w:val="0"/>
                <w:color w:val="4A3A2C"/>
                <w:sz w:val="17"/>
              </w:rPr>
              <w:t>I (within 1 hour)</w:t>
            </w:r>
          </w:p>
        </w:tc>
        <w:tc>
          <w:tcPr>
            <w:tcW w:type="dxa" w:w="1882"/>
            <w:shd w:val="clear" w:color="auto" w:fill="FBF5EE"/>
          </w:tcPr>
          <w:p>
            <w:pPr>
              <w:spacing w:before="40" w:after="40" w:line="276" w:lineRule="auto"/>
            </w:pPr>
            <w:r>
              <w:rPr>
                <w:rFonts w:ascii="Jost" w:hAnsi="Jost" w:cs="Jost" w:eastAsia="Jost"/>
                <w:b w:val="0"/>
                <w:i w:val="0"/>
                <w:color w:val="4A3A2C"/>
                <w:sz w:val="17"/>
              </w:rPr>
              <w:t>A</w:t>
            </w:r>
          </w:p>
        </w:tc>
        <w:tc>
          <w:tcPr>
            <w:tcW w:type="dxa" w:w="1882"/>
            <w:shd w:val="clear" w:color="auto" w:fill="FBF5EE"/>
          </w:tcPr>
          <w:p>
            <w:pPr>
              <w:spacing w:before="40" w:after="40" w:line="276" w:lineRule="auto"/>
            </w:pPr>
            <w:r>
              <w:rPr>
                <w:rFonts w:ascii="Jost" w:hAnsi="Jost" w:cs="Jost" w:eastAsia="Jost"/>
                <w:b w:val="0"/>
                <w:i w:val="0"/>
                <w:color w:val="4A3A2C"/>
                <w:sz w:val="17"/>
              </w:rPr>
              <w:t>R</w:t>
            </w:r>
          </w:p>
        </w:tc>
      </w:tr>
      <w:tr>
        <w:tc>
          <w:tcPr>
            <w:tcW w:type="dxa" w:w="1882"/>
          </w:tcPr>
          <w:p>
            <w:pPr>
              <w:spacing w:before="40" w:after="40" w:line="276" w:lineRule="auto"/>
            </w:pPr>
            <w:r>
              <w:rPr>
                <w:rFonts w:ascii="Jost" w:hAnsi="Jost" w:cs="Jost" w:eastAsia="Jost"/>
                <w:b w:val="0"/>
                <w:i w:val="0"/>
                <w:color w:val="4A3A2C"/>
                <w:sz w:val="17"/>
              </w:rPr>
              <w:t>Taking a modality out of service</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I</w:t>
            </w:r>
          </w:p>
        </w:tc>
        <w:tc>
          <w:tcPr>
            <w:tcW w:type="dxa" w:w="1882"/>
          </w:tcPr>
          <w:p>
            <w:pPr>
              <w:spacing w:before="40" w:after="40" w:line="276" w:lineRule="auto"/>
            </w:pPr>
            <w:r>
              <w:rPr>
                <w:rFonts w:ascii="Jost" w:hAnsi="Jost" w:cs="Jost" w:eastAsia="Jost"/>
                <w:b w:val="0"/>
                <w:i w:val="0"/>
                <w:color w:val="4A3A2C"/>
                <w:sz w:val="17"/>
              </w:rPr>
              <w:t>A</w:t>
            </w:r>
          </w:p>
        </w:tc>
        <w:tc>
          <w:tcPr>
            <w:tcW w:type="dxa" w:w="1882"/>
          </w:tcPr>
          <w:p>
            <w:pPr>
              <w:spacing w:before="40" w:after="40" w:line="276" w:lineRule="auto"/>
            </w:pPr>
            <w:r>
              <w:rPr>
                <w:rFonts w:ascii="Jost" w:hAnsi="Jost" w:cs="Jost" w:eastAsia="Jost"/>
                <w:b w:val="0"/>
                <w:i w:val="0"/>
                <w:color w:val="4A3A2C"/>
                <w:sz w:val="17"/>
              </w:rPr>
              <w:t>R</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Clinical protocols are approved by the Clinical Lead, subject to DHA requirements. Equipment faults are reported to Elevé Health the same day.</w:t>
      </w:r>
    </w:p>
    <w:p>
      <w:pPr>
        <w:keepNext/>
        <w:spacing w:before="280" w:after="100" w:line="264" w:lineRule="auto"/>
      </w:pPr>
      <w:r>
        <w:rPr>
          <w:rFonts w:ascii="Marcellus" w:hAnsi="Marcellus" w:cs="Marcellus" w:eastAsia="Marcellus"/>
          <w:color w:val="221913"/>
          <w:sz w:val="28"/>
        </w:rPr>
        <w:t>5. Escalation path</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Host to Lead Host, immediately.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Lead Host to General Manager, within </w:t>
      </w:r>
      <w:r>
        <w:rPr>
          <w:rFonts w:ascii="Jost" w:hAnsi="Jost" w:cs="Jost" w:eastAsia="Jost"/>
          <w:b w:val="0"/>
          <w:i w:val="0"/>
          <w:color w:val="A6754C"/>
          <w:sz w:val="20"/>
        </w:rPr>
        <w:t>[__]</w:t>
      </w:r>
      <w:r>
        <w:rPr>
          <w:rFonts w:ascii="Jost" w:hAnsi="Jost" w:cs="Jost" w:eastAsia="Jost"/>
          <w:b w:val="0"/>
          <w:i w:val="0"/>
          <w:color w:val="4A3A2C"/>
          <w:sz w:val="20"/>
        </w:rPr>
        <w:t xml:space="preserve"> minutes for moderate and serious incidents.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General Manager to both CEOs, within one hour for serious incidents.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CEOs decide on external communication, insurer notice and any report required by DHA, Dubai Municipality or Dubai Civil Defence.</w:t>
      </w:r>
    </w:p>
    <w:p>
      <w:pPr>
        <w:keepNext/>
        <w:spacing w:before="280" w:after="100" w:line="264" w:lineRule="auto"/>
      </w:pPr>
      <w:r>
        <w:rPr>
          <w:rFonts w:ascii="Marcellus" w:hAnsi="Marcellus" w:cs="Marcellus" w:eastAsia="Marcellus"/>
          <w:color w:val="221913"/>
          <w:sz w:val="28"/>
        </w:rPr>
        <w:t>6. General rules</w:t>
      </w:r>
    </w:p>
    <w:p>
      <w:pPr>
        <w:pStyle w:val="ListBullet"/>
        <w:spacing w:before="0" w:after="60" w:line="300" w:lineRule="auto"/>
      </w:pPr>
      <w:r>
        <w:rPr>
          <w:rFonts w:ascii="Jost" w:hAnsi="Jost" w:cs="Jost" w:eastAsia="Jost"/>
          <w:b w:val="0"/>
          <w:i w:val="0"/>
          <w:color w:val="4A3A2C"/>
          <w:sz w:val="20"/>
        </w:rPr>
        <w:t>Authority may be exercised only within the approved budget and company policy.</w:t>
      </w:r>
    </w:p>
    <w:p>
      <w:pPr>
        <w:pStyle w:val="ListBullet"/>
        <w:spacing w:before="0" w:after="60" w:line="300" w:lineRule="auto"/>
      </w:pPr>
      <w:r>
        <w:rPr>
          <w:rFonts w:ascii="Jost" w:hAnsi="Jost" w:cs="Jost" w:eastAsia="Jost"/>
          <w:b w:val="0"/>
          <w:i w:val="0"/>
          <w:color w:val="4A3A2C"/>
          <w:sz w:val="20"/>
        </w:rPr>
        <w:t>A person may not approve a matter in which they have a personal interest; it moves one level up.</w:t>
      </w:r>
    </w:p>
    <w:p>
      <w:pPr>
        <w:pStyle w:val="ListBullet"/>
        <w:spacing w:before="0" w:after="60" w:line="300" w:lineRule="auto"/>
      </w:pPr>
      <w:r>
        <w:rPr>
          <w:rFonts w:ascii="Jost" w:hAnsi="Jost" w:cs="Jost" w:eastAsia="Jost"/>
          <w:b w:val="0"/>
          <w:i w:val="0"/>
          <w:color w:val="4A3A2C"/>
          <w:sz w:val="20"/>
        </w:rPr>
        <w:t>Splitting a transaction to stay under a threshold is not permitted.</w:t>
      </w:r>
    </w:p>
    <w:p>
      <w:pPr>
        <w:pStyle w:val="ListBullet"/>
        <w:spacing w:before="0" w:after="60" w:line="300" w:lineRule="auto"/>
      </w:pPr>
      <w:r>
        <w:rPr>
          <w:rFonts w:ascii="Jost" w:hAnsi="Jost" w:cs="Jost" w:eastAsia="Jost"/>
          <w:b w:val="0"/>
          <w:i w:val="0"/>
          <w:color w:val="4A3A2C"/>
          <w:sz w:val="20"/>
        </w:rPr>
        <w:t>In the absence of a holder, authority passes one level up, never down, unless delegated in writing.</w:t>
      </w:r>
    </w:p>
    <w:p>
      <w:pPr>
        <w:pStyle w:val="ListBullet"/>
        <w:spacing w:before="0" w:after="60" w:line="300" w:lineRule="auto"/>
      </w:pPr>
      <w:r>
        <w:rPr>
          <w:rFonts w:ascii="Jost" w:hAnsi="Jost" w:cs="Jost" w:eastAsia="Jost"/>
          <w:b w:val="0"/>
          <w:i w:val="0"/>
          <w:color w:val="4A3A2C"/>
          <w:sz w:val="20"/>
        </w:rPr>
        <w:t xml:space="preserve">All approvals above AED </w:t>
      </w:r>
      <w:r>
        <w:rPr>
          <w:rFonts w:ascii="Jost" w:hAnsi="Jost" w:cs="Jost" w:eastAsia="Jost"/>
          <w:b w:val="0"/>
          <w:i w:val="0"/>
          <w:color w:val="A6754C"/>
          <w:sz w:val="20"/>
        </w:rPr>
        <w:t>[___]</w:t>
      </w:r>
      <w:r>
        <w:rPr>
          <w:rFonts w:ascii="Jost" w:hAnsi="Jost" w:cs="Jost" w:eastAsia="Jost"/>
          <w:b w:val="0"/>
          <w:i w:val="0"/>
          <w:color w:val="4A3A2C"/>
          <w:sz w:val="20"/>
        </w:rPr>
        <w:t xml:space="preserve"> are recorded in writing (email is acceptable) and kept by Finance / Admin.</w:t>
      </w:r>
    </w:p>
    <w:p>
      <w:pPr>
        <w:keepNext/>
        <w:spacing w:before="280" w:after="100" w:line="264" w:lineRule="auto"/>
      </w:pPr>
      <w:r>
        <w:rPr>
          <w:rFonts w:ascii="Marcellus" w:hAnsi="Marcellus" w:cs="Marcellus" w:eastAsia="Marcellus"/>
          <w:color w:val="221913"/>
          <w:sz w:val="28"/>
        </w:rPr>
        <w:t>7. Approval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Founder &amp; Chief Executive Officer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3137"/>
          </w:tcPr>
          <w:p>
            <w:pPr>
              <w:spacing w:before="40" w:after="40" w:line="276" w:lineRule="auto"/>
            </w:pPr>
            <w:r>
              <w:rPr>
                <w:rFonts w:ascii="Jost" w:hAnsi="Jost" w:cs="Jost" w:eastAsia="Jost"/>
                <w:b w:val="0"/>
                <w:i w:val="0"/>
                <w:color w:val="4A3A2C"/>
                <w:sz w:val="17"/>
              </w:rPr>
              <w:t>General Manager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AUR-GOV-02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Roles, Responsibilities &amp; Delegation of Authority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