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Data Protection &amp; Client Confidentiality Policy</w:t>
      </w:r>
    </w:p>
    <w:p>
      <w:pPr>
        <w:spacing w:before="0" w:after="280" w:line="264" w:lineRule="auto"/>
        <w:pBdr>
          <w:bottom w:val="single" w:sz="6" w:space="8" w:color="A6754C"/>
        </w:pBdr>
      </w:pPr>
      <w:r>
        <w:rPr>
          <w:rFonts w:ascii="Jost" w:hAnsi="Jost" w:cs="Jost" w:eastAsia="Jost"/>
          <w:b w:val="0"/>
          <w:i w:val="0"/>
          <w:color w:val="7A6753"/>
          <w:sz w:val="16"/>
        </w:rPr>
        <w:t xml:space="preserve">Document No. AUR-SAF-03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Guests trust us with how they feel, what they are recovering from and, sometimes, their medical history. This policy explains how The Aura Reset Center collects, uses, protects and shares personal data, and how every team member keeps guest information confidential.</w:t>
      </w:r>
    </w:p>
    <w:p>
      <w:pPr>
        <w:spacing w:before="0" w:after="120" w:line="312" w:lineRule="auto"/>
      </w:pPr>
      <w:r>
        <w:rPr>
          <w:rFonts w:ascii="Jost" w:hAnsi="Jost" w:cs="Jost" w:eastAsia="Jost"/>
          <w:b w:val="0"/>
          <w:i w:val="0"/>
          <w:color w:val="4A3A2C"/>
          <w:sz w:val="20"/>
        </w:rPr>
        <w:t xml:space="preserve">It applies to all personal data processed by </w:t>
      </w:r>
      <w:r>
        <w:rPr>
          <w:rFonts w:ascii="Jost" w:hAnsi="Jost" w:cs="Jost" w:eastAsia="Jost"/>
          <w:b w:val="0"/>
          <w:i w:val="0"/>
          <w:color w:val="A6754C"/>
          <w:sz w:val="20"/>
        </w:rPr>
        <w:t>[Registered Company Name]</w:t>
      </w:r>
      <w:r>
        <w:rPr>
          <w:rFonts w:ascii="Jost" w:hAnsi="Jost" w:cs="Jost" w:eastAsia="Jost"/>
          <w:b w:val="0"/>
          <w:i w:val="0"/>
          <w:color w:val="4A3A2C"/>
          <w:sz w:val="20"/>
        </w:rPr>
        <w:t xml:space="preserve"> (</w:t>
      </w:r>
      <w:r>
        <w:rPr>
          <w:rFonts w:ascii="Jost" w:hAnsi="Jost" w:cs="Jost" w:eastAsia="Jost"/>
          <w:b w:val="0"/>
          <w:i w:val="0"/>
          <w:color w:val="A6754C"/>
          <w:sz w:val="20"/>
        </w:rPr>
        <w:t>[Trade License No.]</w:t>
      </w:r>
      <w:r>
        <w:rPr>
          <w:rFonts w:ascii="Jost" w:hAnsi="Jost" w:cs="Jost" w:eastAsia="Jost"/>
          <w:b w:val="0"/>
          <w:i w:val="0"/>
          <w:color w:val="4A3A2C"/>
          <w:sz w:val="20"/>
        </w:rPr>
        <w:t>) for the Dubai studio in Jumeirah 1, in any format: paper, digital, audio and video. It applies to employees, Hosts, clinicians, contractors and anyone with access to our systems.</w:t>
      </w:r>
    </w:p>
    <w:p>
      <w:pPr>
        <w:keepNext/>
        <w:spacing w:before="280" w:after="100" w:line="264" w:lineRule="auto"/>
      </w:pPr>
      <w:r>
        <w:rPr>
          <w:rFonts w:ascii="Marcellus" w:hAnsi="Marcellus" w:cs="Marcellus" w:eastAsia="Marcellus"/>
          <w:color w:val="221913"/>
          <w:sz w:val="28"/>
        </w:rPr>
        <w:t>2. Legal framework</w:t>
      </w:r>
    </w:p>
    <w:p>
      <w:pPr>
        <w:pStyle w:val="ListBullet"/>
        <w:spacing w:before="0" w:after="60" w:line="300" w:lineRule="auto"/>
      </w:pPr>
      <w:r>
        <w:rPr>
          <w:rFonts w:ascii="Jost" w:hAnsi="Jost" w:cs="Jost" w:eastAsia="Jost"/>
          <w:b/>
          <w:i w:val="0"/>
          <w:color w:val="4A3A2C"/>
          <w:sz w:val="20"/>
        </w:rPr>
        <w:t>UAE:</w:t>
      </w:r>
      <w:r>
        <w:rPr>
          <w:rFonts w:ascii="Jost" w:hAnsi="Jost" w:cs="Jost" w:eastAsia="Jost"/>
          <w:b w:val="0"/>
          <w:i w:val="0"/>
          <w:color w:val="4A3A2C"/>
          <w:sz w:val="20"/>
        </w:rPr>
        <w:t xml:space="preserve"> Federal Decree-Law No. 45 of 2021 on the Protection of Personal Data (PDPL) and its executive regulations as issued. Health data relating to IV Nutrient Therapy and any DHA-regulated service is also handled in line with UAE health data laws and DHA requirements, subject to DHA requirements </w:t>
      </w:r>
      <w:r>
        <w:rPr>
          <w:rFonts w:ascii="Jost" w:hAnsi="Jost" w:cs="Jost" w:eastAsia="Jost"/>
          <w:b w:val="0"/>
          <w:i w:val="0"/>
          <w:color w:val="A6754C"/>
          <w:sz w:val="20"/>
        </w:rPr>
        <w:t>[DHA licence / approval reference]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United States:</w:t>
      </w:r>
      <w:r>
        <w:rPr>
          <w:rFonts w:ascii="Jost" w:hAnsi="Jost" w:cs="Jost" w:eastAsia="Jost"/>
          <w:b w:val="0"/>
          <w:i w:val="0"/>
          <w:color w:val="4A3A2C"/>
          <w:sz w:val="20"/>
        </w:rPr>
        <w:t xml:space="preserve"> our location at 1936 East Deere Avenue, Suite 120, Santa Ana, California handles its own guest data under applicable US federal and California law. Where a member uses both locations ("your membership travels with you"), data shared between them is treated as an international transfer (Section 11).</w:t>
      </w:r>
    </w:p>
    <w:p>
      <w:pPr>
        <w:spacing w:before="0" w:after="120" w:line="312" w:lineRule="auto"/>
      </w:pPr>
      <w:r>
        <w:rPr>
          <w:rFonts w:ascii="Jost" w:hAnsi="Jost" w:cs="Jost" w:eastAsia="Jost"/>
          <w:b w:val="0"/>
          <w:i w:val="0"/>
          <w:color w:val="A6754C"/>
          <w:sz w:val="20"/>
        </w:rPr>
        <w:t>[Registered Company Name]</w:t>
      </w:r>
      <w:r>
        <w:rPr>
          <w:rFonts w:ascii="Jost" w:hAnsi="Jost" w:cs="Jost" w:eastAsia="Jost"/>
          <w:b w:val="0"/>
          <w:i w:val="0"/>
          <w:color w:val="4A3A2C"/>
          <w:sz w:val="20"/>
        </w:rPr>
        <w:t xml:space="preserve"> is the controller for Dubai guest data. Data Protection Lead: </w:t>
      </w:r>
      <w:r>
        <w:rPr>
          <w:rFonts w:ascii="Jost" w:hAnsi="Jost" w:cs="Jost" w:eastAsia="Jost"/>
          <w:b w:val="0"/>
          <w:i w:val="0"/>
          <w:color w:val="A6754C"/>
          <w:sz w:val="20"/>
        </w:rPr>
        <w:t>[Name / role, e.g. General Manager]</w:t>
      </w:r>
      <w:r>
        <w:rPr>
          <w:rFonts w:ascii="Jost" w:hAnsi="Jost" w:cs="Jost" w:eastAsia="Jost"/>
          <w:b w:val="0"/>
          <w:i w:val="0"/>
          <w:color w:val="4A3A2C"/>
          <w:sz w:val="20"/>
        </w:rPr>
        <w:t xml:space="preserve">, </w:t>
      </w:r>
      <w:r>
        <w:rPr>
          <w:rFonts w:ascii="Jost" w:hAnsi="Jost" w:cs="Jost" w:eastAsia="Jost"/>
          <w:b w:val="0"/>
          <w:i w:val="0"/>
          <w:color w:val="A6754C"/>
          <w:sz w:val="20"/>
        </w:rPr>
        <w:t>[Email]</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3. Principles</w:t>
      </w:r>
    </w:p>
    <w:p>
      <w:pPr>
        <w:spacing w:before="0" w:after="120" w:line="312" w:lineRule="auto"/>
      </w:pPr>
      <w:r>
        <w:rPr>
          <w:rFonts w:ascii="Jost" w:hAnsi="Jost" w:cs="Jost" w:eastAsia="Jost"/>
          <w:b w:val="0"/>
          <w:i w:val="0"/>
          <w:color w:val="4A3A2C"/>
          <w:sz w:val="20"/>
        </w:rPr>
        <w:t>We process personal data:</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Lawfully, fairly and transparently.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Only for clear, stated purposes.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Limited to what we actually need.</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Accurately, and corrected when wrong.</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Kept no longer than needed.</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Securely, protected against loss, misuse and unauthorised access.</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val="0"/>
          <w:i w:val="0"/>
          <w:color w:val="4A3A2C"/>
          <w:sz w:val="20"/>
        </w:rPr>
        <w:t>With accountability: we can show how we comply.</w:t>
      </w:r>
    </w:p>
    <w:p>
      <w:pPr>
        <w:keepNext/>
        <w:spacing w:before="280" w:after="100" w:line="264" w:lineRule="auto"/>
      </w:pPr>
      <w:r>
        <w:rPr>
          <w:rFonts w:ascii="Marcellus" w:hAnsi="Marcellus" w:cs="Marcellus" w:eastAsia="Marcellus"/>
          <w:color w:val="221913"/>
          <w:sz w:val="28"/>
        </w:rPr>
        <w:t>4. What we collect and why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Data category</w:t>
            </w:r>
          </w:p>
        </w:tc>
        <w:tc>
          <w:tcPr>
            <w:tcW w:type="dxa" w:w="2353"/>
            <w:shd w:val="clear" w:color="auto" w:fill="221913"/>
          </w:tcPr>
          <w:p>
            <w:pPr>
              <w:spacing w:before="40" w:after="40" w:line="276" w:lineRule="auto"/>
            </w:pPr>
            <w:r>
              <w:rPr>
                <w:rFonts w:ascii="Jost" w:hAnsi="Jost" w:cs="Jost" w:eastAsia="Jost"/>
                <w:b/>
                <w:i w:val="0"/>
                <w:color w:val="FBF5EE"/>
                <w:sz w:val="17"/>
              </w:rPr>
              <w:t>Examples</w:t>
            </w:r>
          </w:p>
        </w:tc>
        <w:tc>
          <w:tcPr>
            <w:tcW w:type="dxa" w:w="2353"/>
            <w:shd w:val="clear" w:color="auto" w:fill="221913"/>
          </w:tcPr>
          <w:p>
            <w:pPr>
              <w:spacing w:before="40" w:after="40" w:line="276" w:lineRule="auto"/>
            </w:pPr>
            <w:r>
              <w:rPr>
                <w:rFonts w:ascii="Jost" w:hAnsi="Jost" w:cs="Jost" w:eastAsia="Jost"/>
                <w:b/>
                <w:i w:val="0"/>
                <w:color w:val="FBF5EE"/>
                <w:sz w:val="17"/>
              </w:rPr>
              <w:t>Purpose</w:t>
            </w:r>
          </w:p>
        </w:tc>
        <w:tc>
          <w:tcPr>
            <w:tcW w:type="dxa" w:w="2353"/>
            <w:shd w:val="clear" w:color="auto" w:fill="221913"/>
          </w:tcPr>
          <w:p>
            <w:pPr>
              <w:spacing w:before="40" w:after="40" w:line="276" w:lineRule="auto"/>
            </w:pPr>
            <w:r>
              <w:rPr>
                <w:rFonts w:ascii="Jost" w:hAnsi="Jost" w:cs="Jost" w:eastAsia="Jost"/>
                <w:b/>
                <w:i w:val="0"/>
                <w:color w:val="FBF5EE"/>
                <w:sz w:val="17"/>
              </w:rPr>
              <w:t>Lawful basis</w:t>
            </w:r>
          </w:p>
        </w:tc>
      </w:tr>
      <w:tr>
        <w:tc>
          <w:tcPr>
            <w:tcW w:type="dxa" w:w="2353"/>
          </w:tcPr>
          <w:p>
            <w:pPr>
              <w:spacing w:before="40" w:after="40" w:line="276" w:lineRule="auto"/>
            </w:pPr>
            <w:r>
              <w:rPr>
                <w:rFonts w:ascii="Jost" w:hAnsi="Jost" w:cs="Jost" w:eastAsia="Jost"/>
                <w:b w:val="0"/>
                <w:i w:val="0"/>
                <w:color w:val="4A3A2C"/>
                <w:sz w:val="17"/>
              </w:rPr>
              <w:t>Identity and contact</w:t>
            </w:r>
          </w:p>
        </w:tc>
        <w:tc>
          <w:tcPr>
            <w:tcW w:type="dxa" w:w="2353"/>
          </w:tcPr>
          <w:p>
            <w:pPr>
              <w:spacing w:before="40" w:after="40" w:line="276" w:lineRule="auto"/>
            </w:pPr>
            <w:r>
              <w:rPr>
                <w:rFonts w:ascii="Jost" w:hAnsi="Jost" w:cs="Jost" w:eastAsia="Jost"/>
                <w:b w:val="0"/>
                <w:i w:val="0"/>
                <w:color w:val="4A3A2C"/>
                <w:sz w:val="17"/>
              </w:rPr>
              <w:t>Name, phone, WhatsApp, email, date of birth, emergency contact</w:t>
            </w:r>
          </w:p>
        </w:tc>
        <w:tc>
          <w:tcPr>
            <w:tcW w:type="dxa" w:w="2353"/>
          </w:tcPr>
          <w:p>
            <w:pPr>
              <w:spacing w:before="40" w:after="40" w:line="276" w:lineRule="auto"/>
            </w:pPr>
            <w:r>
              <w:rPr>
                <w:rFonts w:ascii="Jost" w:hAnsi="Jost" w:cs="Jost" w:eastAsia="Jost"/>
                <w:b w:val="0"/>
                <w:i w:val="0"/>
                <w:color w:val="4A3A2C"/>
                <w:sz w:val="17"/>
              </w:rPr>
              <w:t>Bookings, confirmations, safety</w:t>
            </w:r>
          </w:p>
        </w:tc>
        <w:tc>
          <w:tcPr>
            <w:tcW w:type="dxa" w:w="2353"/>
          </w:tcPr>
          <w:p>
            <w:pPr>
              <w:spacing w:before="40" w:after="40" w:line="276" w:lineRule="auto"/>
            </w:pPr>
            <w:r>
              <w:rPr>
                <w:rFonts w:ascii="Jost" w:hAnsi="Jost" w:cs="Jost" w:eastAsia="Jost"/>
                <w:b w:val="0"/>
                <w:i w:val="0"/>
                <w:color w:val="4A3A2C"/>
                <w:sz w:val="17"/>
              </w:rPr>
              <w:t>Contract; legitimate interest (safety)</w:t>
            </w:r>
          </w:p>
        </w:tc>
      </w:tr>
      <w:tr>
        <w:tc>
          <w:tcPr>
            <w:tcW w:type="dxa" w:w="2353"/>
            <w:shd w:val="clear" w:color="auto" w:fill="FBF5EE"/>
          </w:tcPr>
          <w:p>
            <w:pPr>
              <w:spacing w:before="40" w:after="40" w:line="276" w:lineRule="auto"/>
            </w:pPr>
            <w:r>
              <w:rPr>
                <w:rFonts w:ascii="Jost" w:hAnsi="Jost" w:cs="Jost" w:eastAsia="Jost"/>
                <w:b w:val="0"/>
                <w:i w:val="0"/>
                <w:color w:val="4A3A2C"/>
                <w:sz w:val="17"/>
              </w:rPr>
              <w:t>Health and wellness intake (sensitive)</w:t>
            </w:r>
          </w:p>
        </w:tc>
        <w:tc>
          <w:tcPr>
            <w:tcW w:type="dxa" w:w="2353"/>
            <w:shd w:val="clear" w:color="auto" w:fill="FBF5EE"/>
          </w:tcPr>
          <w:p>
            <w:pPr>
              <w:spacing w:before="40" w:after="40" w:line="276" w:lineRule="auto"/>
            </w:pPr>
            <w:r>
              <w:rPr>
                <w:rFonts w:ascii="Jost" w:hAnsi="Jost" w:cs="Jost" w:eastAsia="Jost"/>
                <w:b w:val="0"/>
                <w:i w:val="0"/>
                <w:color w:val="4A3A2C"/>
                <w:sz w:val="17"/>
              </w:rPr>
              <w:t>Medical conditions, medication, pregnancy, contraindications, goals (e.g. "Sleep deeper", "Calm the stress"), how you arrived feeling</w:t>
            </w:r>
          </w:p>
        </w:tc>
        <w:tc>
          <w:tcPr>
            <w:tcW w:type="dxa" w:w="2353"/>
            <w:shd w:val="clear" w:color="auto" w:fill="FBF5EE"/>
          </w:tcPr>
          <w:p>
            <w:pPr>
              <w:spacing w:before="40" w:after="40" w:line="276" w:lineRule="auto"/>
            </w:pPr>
            <w:r>
              <w:rPr>
                <w:rFonts w:ascii="Jost" w:hAnsi="Jost" w:cs="Jost" w:eastAsia="Jost"/>
                <w:b w:val="0"/>
                <w:i w:val="0"/>
                <w:color w:val="4A3A2C"/>
                <w:sz w:val="17"/>
              </w:rPr>
              <w:t>Safe screening for each modality; building your protocol</w:t>
            </w:r>
          </w:p>
        </w:tc>
        <w:tc>
          <w:tcPr>
            <w:tcW w:type="dxa" w:w="2353"/>
            <w:shd w:val="clear" w:color="auto" w:fill="FBF5EE"/>
          </w:tcPr>
          <w:p>
            <w:pPr>
              <w:spacing w:before="40" w:after="40" w:line="276" w:lineRule="auto"/>
            </w:pPr>
            <w:r>
              <w:rPr>
                <w:rFonts w:ascii="Jost" w:hAnsi="Jost" w:cs="Jost" w:eastAsia="Jost"/>
                <w:b w:val="0"/>
                <w:i w:val="0"/>
                <w:color w:val="4A3A2C"/>
                <w:sz w:val="17"/>
              </w:rPr>
              <w:t>Explicit consent; necessary for health services where applicable</w:t>
            </w:r>
          </w:p>
        </w:tc>
      </w:tr>
      <w:tr>
        <w:tc>
          <w:tcPr>
            <w:tcW w:type="dxa" w:w="2353"/>
          </w:tcPr>
          <w:p>
            <w:pPr>
              <w:spacing w:before="40" w:after="40" w:line="276" w:lineRule="auto"/>
            </w:pPr>
            <w:r>
              <w:rPr>
                <w:rFonts w:ascii="Jost" w:hAnsi="Jost" w:cs="Jost" w:eastAsia="Jost"/>
                <w:b w:val="0"/>
                <w:i w:val="0"/>
                <w:color w:val="4A3A2C"/>
                <w:sz w:val="17"/>
              </w:rPr>
              <w:t>Clinical records (sensitive)</w:t>
            </w:r>
          </w:p>
        </w:tc>
        <w:tc>
          <w:tcPr>
            <w:tcW w:type="dxa" w:w="2353"/>
          </w:tcPr>
          <w:p>
            <w:pPr>
              <w:spacing w:before="40" w:after="40" w:line="276" w:lineRule="auto"/>
            </w:pPr>
            <w:r>
              <w:rPr>
                <w:rFonts w:ascii="Jost" w:hAnsi="Jost" w:cs="Jost" w:eastAsia="Jost"/>
                <w:b w:val="0"/>
                <w:i w:val="0"/>
                <w:color w:val="4A3A2C"/>
                <w:sz w:val="17"/>
              </w:rPr>
              <w:t>IV assessment, prescription, batch numbers, vital signs, adverse reactions</w:t>
            </w:r>
          </w:p>
        </w:tc>
        <w:tc>
          <w:tcPr>
            <w:tcW w:type="dxa" w:w="2353"/>
          </w:tcPr>
          <w:p>
            <w:pPr>
              <w:spacing w:before="40" w:after="40" w:line="276" w:lineRule="auto"/>
            </w:pPr>
            <w:r>
              <w:rPr>
                <w:rFonts w:ascii="Jost" w:hAnsi="Jost" w:cs="Jost" w:eastAsia="Jost"/>
                <w:b w:val="0"/>
                <w:i w:val="0"/>
                <w:color w:val="4A3A2C"/>
                <w:sz w:val="17"/>
              </w:rPr>
              <w:t>Delivering IV Nutrient Therapy safely; DHA record keeping</w:t>
            </w:r>
          </w:p>
        </w:tc>
        <w:tc>
          <w:tcPr>
            <w:tcW w:type="dxa" w:w="2353"/>
          </w:tcPr>
          <w:p>
            <w:pPr>
              <w:spacing w:before="40" w:after="40" w:line="276" w:lineRule="auto"/>
            </w:pPr>
            <w:r>
              <w:rPr>
                <w:rFonts w:ascii="Jost" w:hAnsi="Jost" w:cs="Jost" w:eastAsia="Jost"/>
                <w:b w:val="0"/>
                <w:i w:val="0"/>
                <w:color w:val="4A3A2C"/>
                <w:sz w:val="17"/>
              </w:rPr>
              <w:t>Legal obligation (DHA); explicit consent</w:t>
            </w:r>
          </w:p>
        </w:tc>
      </w:tr>
      <w:tr>
        <w:tc>
          <w:tcPr>
            <w:tcW w:type="dxa" w:w="2353"/>
            <w:shd w:val="clear" w:color="auto" w:fill="FBF5EE"/>
          </w:tcPr>
          <w:p>
            <w:pPr>
              <w:spacing w:before="40" w:after="40" w:line="276" w:lineRule="auto"/>
            </w:pPr>
            <w:r>
              <w:rPr>
                <w:rFonts w:ascii="Jost" w:hAnsi="Jost" w:cs="Jost" w:eastAsia="Jost"/>
                <w:b w:val="0"/>
                <w:i w:val="0"/>
                <w:color w:val="4A3A2C"/>
                <w:sz w:val="17"/>
              </w:rPr>
              <w:t>Consent and waiver forms</w:t>
            </w:r>
          </w:p>
        </w:tc>
        <w:tc>
          <w:tcPr>
            <w:tcW w:type="dxa" w:w="2353"/>
            <w:shd w:val="clear" w:color="auto" w:fill="FBF5EE"/>
          </w:tcPr>
          <w:p>
            <w:pPr>
              <w:spacing w:before="40" w:after="40" w:line="276" w:lineRule="auto"/>
            </w:pPr>
            <w:r>
              <w:rPr>
                <w:rFonts w:ascii="Jost" w:hAnsi="Jost" w:cs="Jost" w:eastAsia="Jost"/>
                <w:b w:val="0"/>
                <w:i w:val="0"/>
                <w:color w:val="4A3A2C"/>
                <w:sz w:val="17"/>
              </w:rPr>
              <w:t>Signed consents per modality, waivers</w:t>
            </w:r>
          </w:p>
        </w:tc>
        <w:tc>
          <w:tcPr>
            <w:tcW w:type="dxa" w:w="2353"/>
            <w:shd w:val="clear" w:color="auto" w:fill="FBF5EE"/>
          </w:tcPr>
          <w:p>
            <w:pPr>
              <w:spacing w:before="40" w:after="40" w:line="276" w:lineRule="auto"/>
            </w:pPr>
            <w:r>
              <w:rPr>
                <w:rFonts w:ascii="Jost" w:hAnsi="Jost" w:cs="Jost" w:eastAsia="Jost"/>
                <w:b w:val="0"/>
                <w:i w:val="0"/>
                <w:color w:val="4A3A2C"/>
                <w:sz w:val="17"/>
              </w:rPr>
              <w:t>Evidence of informed consent</w:t>
            </w:r>
          </w:p>
        </w:tc>
        <w:tc>
          <w:tcPr>
            <w:tcW w:type="dxa" w:w="2353"/>
            <w:shd w:val="clear" w:color="auto" w:fill="FBF5EE"/>
          </w:tcPr>
          <w:p>
            <w:pPr>
              <w:spacing w:before="40" w:after="40" w:line="276" w:lineRule="auto"/>
            </w:pPr>
            <w:r>
              <w:rPr>
                <w:rFonts w:ascii="Jost" w:hAnsi="Jost" w:cs="Jost" w:eastAsia="Jost"/>
                <w:b w:val="0"/>
                <w:i w:val="0"/>
                <w:color w:val="4A3A2C"/>
                <w:sz w:val="17"/>
              </w:rPr>
              <w:t>Legal obligation; contract</w:t>
            </w:r>
          </w:p>
        </w:tc>
      </w:tr>
      <w:tr>
        <w:tc>
          <w:tcPr>
            <w:tcW w:type="dxa" w:w="2353"/>
          </w:tcPr>
          <w:p>
            <w:pPr>
              <w:spacing w:before="40" w:after="40" w:line="276" w:lineRule="auto"/>
            </w:pPr>
            <w:r>
              <w:rPr>
                <w:rFonts w:ascii="Jost" w:hAnsi="Jost" w:cs="Jost" w:eastAsia="Jost"/>
                <w:b w:val="0"/>
                <w:i w:val="0"/>
                <w:color w:val="4A3A2C"/>
                <w:sz w:val="17"/>
              </w:rPr>
              <w:t>Booking and visit history</w:t>
            </w:r>
          </w:p>
        </w:tc>
        <w:tc>
          <w:tcPr>
            <w:tcW w:type="dxa" w:w="2353"/>
          </w:tcPr>
          <w:p>
            <w:pPr>
              <w:spacing w:before="40" w:after="40" w:line="276" w:lineRule="auto"/>
            </w:pPr>
            <w:r>
              <w:rPr>
                <w:rFonts w:ascii="Jost" w:hAnsi="Jost" w:cs="Jost" w:eastAsia="Jost"/>
                <w:b w:val="0"/>
                <w:i w:val="0"/>
                <w:color w:val="4A3A2C"/>
                <w:sz w:val="17"/>
              </w:rPr>
              <w:t>Modalities booked, time bands, session notes, host notes</w:t>
            </w:r>
          </w:p>
        </w:tc>
        <w:tc>
          <w:tcPr>
            <w:tcW w:type="dxa" w:w="2353"/>
          </w:tcPr>
          <w:p>
            <w:pPr>
              <w:spacing w:before="40" w:after="40" w:line="276" w:lineRule="auto"/>
            </w:pPr>
            <w:r>
              <w:rPr>
                <w:rFonts w:ascii="Jost" w:hAnsi="Jost" w:cs="Jost" w:eastAsia="Jost"/>
                <w:b w:val="0"/>
                <w:i w:val="0"/>
                <w:color w:val="4A3A2C"/>
                <w:sz w:val="17"/>
              </w:rPr>
              <w:t>Running the service; protocol reviews for Elevate members</w:t>
            </w:r>
          </w:p>
        </w:tc>
        <w:tc>
          <w:tcPr>
            <w:tcW w:type="dxa" w:w="2353"/>
          </w:tcPr>
          <w:p>
            <w:pPr>
              <w:spacing w:before="40" w:after="40" w:line="276" w:lineRule="auto"/>
            </w:pPr>
            <w:r>
              <w:rPr>
                <w:rFonts w:ascii="Jost" w:hAnsi="Jost" w:cs="Jost" w:eastAsia="Jost"/>
                <w:b w:val="0"/>
                <w:i w:val="0"/>
                <w:color w:val="4A3A2C"/>
                <w:sz w:val="17"/>
              </w:rPr>
              <w:t>Contract</w:t>
            </w:r>
          </w:p>
        </w:tc>
      </w:tr>
      <w:tr>
        <w:tc>
          <w:tcPr>
            <w:tcW w:type="dxa" w:w="2353"/>
            <w:shd w:val="clear" w:color="auto" w:fill="FBF5EE"/>
          </w:tcPr>
          <w:p>
            <w:pPr>
              <w:spacing w:before="40" w:after="40" w:line="276" w:lineRule="auto"/>
            </w:pPr>
            <w:r>
              <w:rPr>
                <w:rFonts w:ascii="Jost" w:hAnsi="Jost" w:cs="Jost" w:eastAsia="Jost"/>
                <w:b w:val="0"/>
                <w:i w:val="0"/>
                <w:color w:val="4A3A2C"/>
                <w:sz w:val="17"/>
              </w:rPr>
              <w:t>Membership and payment</w:t>
            </w:r>
          </w:p>
        </w:tc>
        <w:tc>
          <w:tcPr>
            <w:tcW w:type="dxa" w:w="2353"/>
            <w:shd w:val="clear" w:color="auto" w:fill="FBF5EE"/>
          </w:tcPr>
          <w:p>
            <w:pPr>
              <w:spacing w:before="40" w:after="40" w:line="276" w:lineRule="auto"/>
            </w:pPr>
            <w:r>
              <w:rPr>
                <w:rFonts w:ascii="Jost" w:hAnsi="Jost" w:cs="Jost" w:eastAsia="Jost"/>
                <w:b w:val="0"/>
                <w:i w:val="0"/>
                <w:color w:val="4A3A2C"/>
                <w:sz w:val="17"/>
              </w:rPr>
              <w:t>Plan (Single Reset, Restore, Elevate, founding member), billing dates, pauses, card token, invoices</w:t>
            </w:r>
          </w:p>
        </w:tc>
        <w:tc>
          <w:tcPr>
            <w:tcW w:type="dxa" w:w="2353"/>
            <w:shd w:val="clear" w:color="auto" w:fill="FBF5EE"/>
          </w:tcPr>
          <w:p>
            <w:pPr>
              <w:spacing w:before="40" w:after="40" w:line="276" w:lineRule="auto"/>
            </w:pPr>
            <w:r>
              <w:rPr>
                <w:rFonts w:ascii="Jost" w:hAnsi="Jost" w:cs="Jost" w:eastAsia="Jost"/>
                <w:b w:val="0"/>
                <w:i w:val="0"/>
                <w:color w:val="4A3A2C"/>
                <w:sz w:val="17"/>
              </w:rPr>
              <w:t>Billing, membership management, tax records</w:t>
            </w:r>
          </w:p>
        </w:tc>
        <w:tc>
          <w:tcPr>
            <w:tcW w:type="dxa" w:w="2353"/>
            <w:shd w:val="clear" w:color="auto" w:fill="FBF5EE"/>
          </w:tcPr>
          <w:p>
            <w:pPr>
              <w:spacing w:before="40" w:after="40" w:line="276" w:lineRule="auto"/>
            </w:pPr>
            <w:r>
              <w:rPr>
                <w:rFonts w:ascii="Jost" w:hAnsi="Jost" w:cs="Jost" w:eastAsia="Jost"/>
                <w:b w:val="0"/>
                <w:i w:val="0"/>
                <w:color w:val="4A3A2C"/>
                <w:sz w:val="17"/>
              </w:rPr>
              <w:t>Contract; legal obligation</w:t>
            </w:r>
          </w:p>
        </w:tc>
      </w:tr>
      <w:tr>
        <w:tc>
          <w:tcPr>
            <w:tcW w:type="dxa" w:w="2353"/>
          </w:tcPr>
          <w:p>
            <w:pPr>
              <w:spacing w:before="40" w:after="40" w:line="276" w:lineRule="auto"/>
            </w:pPr>
            <w:r>
              <w:rPr>
                <w:rFonts w:ascii="Jost" w:hAnsi="Jost" w:cs="Jost" w:eastAsia="Jost"/>
                <w:b w:val="0"/>
                <w:i w:val="0"/>
                <w:color w:val="4A3A2C"/>
                <w:sz w:val="17"/>
              </w:rPr>
              <w:t>CCTV</w:t>
            </w:r>
          </w:p>
        </w:tc>
        <w:tc>
          <w:tcPr>
            <w:tcW w:type="dxa" w:w="2353"/>
          </w:tcPr>
          <w:p>
            <w:pPr>
              <w:spacing w:before="40" w:after="40" w:line="276" w:lineRule="auto"/>
            </w:pPr>
            <w:r>
              <w:rPr>
                <w:rFonts w:ascii="Jost" w:hAnsi="Jost" w:cs="Jost" w:eastAsia="Jost"/>
                <w:b w:val="0"/>
                <w:i w:val="0"/>
                <w:color w:val="4A3A2C"/>
                <w:sz w:val="17"/>
              </w:rPr>
              <w:t>Images in reception, entrances and corridors (never in changing rooms, showers, treatment rooms or the IV room)</w:t>
            </w:r>
          </w:p>
        </w:tc>
        <w:tc>
          <w:tcPr>
            <w:tcW w:type="dxa" w:w="2353"/>
          </w:tcPr>
          <w:p>
            <w:pPr>
              <w:spacing w:before="40" w:after="40" w:line="276" w:lineRule="auto"/>
            </w:pPr>
            <w:r>
              <w:rPr>
                <w:rFonts w:ascii="Jost" w:hAnsi="Jost" w:cs="Jost" w:eastAsia="Jost"/>
                <w:b w:val="0"/>
                <w:i w:val="0"/>
                <w:color w:val="4A3A2C"/>
                <w:sz w:val="17"/>
              </w:rPr>
              <w:t>Safety and security</w:t>
            </w:r>
          </w:p>
        </w:tc>
        <w:tc>
          <w:tcPr>
            <w:tcW w:type="dxa" w:w="2353"/>
          </w:tcPr>
          <w:p>
            <w:pPr>
              <w:spacing w:before="40" w:after="40" w:line="276" w:lineRule="auto"/>
            </w:pPr>
            <w:r>
              <w:rPr>
                <w:rFonts w:ascii="Jost" w:hAnsi="Jost" w:cs="Jost" w:eastAsia="Jost"/>
                <w:b w:val="0"/>
                <w:i w:val="0"/>
                <w:color w:val="4A3A2C"/>
                <w:sz w:val="17"/>
              </w:rPr>
              <w:t>Legitimate interest; legal obligation where required</w:t>
            </w:r>
          </w:p>
        </w:tc>
      </w:tr>
      <w:tr>
        <w:tc>
          <w:tcPr>
            <w:tcW w:type="dxa" w:w="2353"/>
            <w:shd w:val="clear" w:color="auto" w:fill="FBF5EE"/>
          </w:tcPr>
          <w:p>
            <w:pPr>
              <w:spacing w:before="40" w:after="40" w:line="276" w:lineRule="auto"/>
            </w:pPr>
            <w:r>
              <w:rPr>
                <w:rFonts w:ascii="Jost" w:hAnsi="Jost" w:cs="Jost" w:eastAsia="Jost"/>
                <w:b w:val="0"/>
                <w:i w:val="0"/>
                <w:color w:val="4A3A2C"/>
                <w:sz w:val="17"/>
              </w:rPr>
              <w:t>Device session data</w:t>
            </w:r>
          </w:p>
        </w:tc>
        <w:tc>
          <w:tcPr>
            <w:tcW w:type="dxa" w:w="2353"/>
            <w:shd w:val="clear" w:color="auto" w:fill="FBF5EE"/>
          </w:tcPr>
          <w:p>
            <w:pPr>
              <w:spacing w:before="40" w:after="40" w:line="276" w:lineRule="auto"/>
            </w:pPr>
            <w:r>
              <w:rPr>
                <w:rFonts w:ascii="Jost" w:hAnsi="Jost" w:cs="Jost" w:eastAsia="Jost"/>
                <w:b w:val="0"/>
                <w:i w:val="0"/>
                <w:color w:val="4A3A2C"/>
                <w:sz w:val="17"/>
              </w:rPr>
              <w:t>Settings and readings from Elevé devices (e.g. cryo thermal-vision monitoring, HBOT pressure log)</w:t>
            </w:r>
          </w:p>
        </w:tc>
        <w:tc>
          <w:tcPr>
            <w:tcW w:type="dxa" w:w="2353"/>
            <w:shd w:val="clear" w:color="auto" w:fill="FBF5EE"/>
          </w:tcPr>
          <w:p>
            <w:pPr>
              <w:spacing w:before="40" w:after="40" w:line="276" w:lineRule="auto"/>
            </w:pPr>
            <w:r>
              <w:rPr>
                <w:rFonts w:ascii="Jost" w:hAnsi="Jost" w:cs="Jost" w:eastAsia="Jost"/>
                <w:b w:val="0"/>
                <w:i w:val="0"/>
                <w:color w:val="4A3A2C"/>
                <w:sz w:val="17"/>
              </w:rPr>
              <w:t>Safety and quality</w:t>
            </w:r>
          </w:p>
        </w:tc>
        <w:tc>
          <w:tcPr>
            <w:tcW w:type="dxa" w:w="2353"/>
            <w:shd w:val="clear" w:color="auto" w:fill="FBF5EE"/>
          </w:tcPr>
          <w:p>
            <w:pPr>
              <w:spacing w:before="40" w:after="40" w:line="276" w:lineRule="auto"/>
            </w:pPr>
            <w:r>
              <w:rPr>
                <w:rFonts w:ascii="Jost" w:hAnsi="Jost" w:cs="Jost" w:eastAsia="Jost"/>
                <w:b w:val="0"/>
                <w:i w:val="0"/>
                <w:color w:val="4A3A2C"/>
                <w:sz w:val="17"/>
              </w:rPr>
              <w:t>Legitimate interest; legal obligation</w:t>
            </w:r>
          </w:p>
        </w:tc>
      </w:tr>
      <w:tr>
        <w:tc>
          <w:tcPr>
            <w:tcW w:type="dxa" w:w="2353"/>
          </w:tcPr>
          <w:p>
            <w:pPr>
              <w:spacing w:before="40" w:after="40" w:line="276" w:lineRule="auto"/>
            </w:pPr>
            <w:r>
              <w:rPr>
                <w:rFonts w:ascii="Jost" w:hAnsi="Jost" w:cs="Jost" w:eastAsia="Jost"/>
                <w:b w:val="0"/>
                <w:i w:val="0"/>
                <w:color w:val="4A3A2C"/>
                <w:sz w:val="17"/>
              </w:rPr>
              <w:t>Marketing preferences</w:t>
            </w:r>
          </w:p>
        </w:tc>
        <w:tc>
          <w:tcPr>
            <w:tcW w:type="dxa" w:w="2353"/>
          </w:tcPr>
          <w:p>
            <w:pPr>
              <w:spacing w:before="40" w:after="40" w:line="276" w:lineRule="auto"/>
            </w:pPr>
            <w:r>
              <w:rPr>
                <w:rFonts w:ascii="Jost" w:hAnsi="Jost" w:cs="Jost" w:eastAsia="Jost"/>
                <w:b w:val="0"/>
                <w:i w:val="0"/>
                <w:color w:val="4A3A2C"/>
                <w:sz w:val="17"/>
              </w:rPr>
              <w:t>Opt-ins, founding member list sign-up, launch event RSVP</w:t>
            </w:r>
          </w:p>
        </w:tc>
        <w:tc>
          <w:tcPr>
            <w:tcW w:type="dxa" w:w="2353"/>
          </w:tcPr>
          <w:p>
            <w:pPr>
              <w:spacing w:before="40" w:after="40" w:line="276" w:lineRule="auto"/>
            </w:pPr>
            <w:r>
              <w:rPr>
                <w:rFonts w:ascii="Jost" w:hAnsi="Jost" w:cs="Jost" w:eastAsia="Jost"/>
                <w:b w:val="0"/>
                <w:i w:val="0"/>
                <w:color w:val="4A3A2C"/>
                <w:sz w:val="17"/>
              </w:rPr>
              <w:t>Sending news and offers</w:t>
            </w:r>
          </w:p>
        </w:tc>
        <w:tc>
          <w:tcPr>
            <w:tcW w:type="dxa" w:w="2353"/>
          </w:tcPr>
          <w:p>
            <w:pPr>
              <w:spacing w:before="40" w:after="40" w:line="276" w:lineRule="auto"/>
            </w:pPr>
            <w:r>
              <w:rPr>
                <w:rFonts w:ascii="Jost" w:hAnsi="Jost" w:cs="Jost" w:eastAsia="Jost"/>
                <w:b w:val="0"/>
                <w:i w:val="0"/>
                <w:color w:val="4A3A2C"/>
                <w:sz w:val="17"/>
              </w:rPr>
              <w:t>Consent</w:t>
            </w:r>
          </w:p>
        </w:tc>
      </w:tr>
      <w:tr>
        <w:tc>
          <w:tcPr>
            <w:tcW w:type="dxa" w:w="2353"/>
            <w:shd w:val="clear" w:color="auto" w:fill="FBF5EE"/>
          </w:tcPr>
          <w:p>
            <w:pPr>
              <w:spacing w:before="40" w:after="40" w:line="276" w:lineRule="auto"/>
            </w:pPr>
            <w:r>
              <w:rPr>
                <w:rFonts w:ascii="Jost" w:hAnsi="Jost" w:cs="Jost" w:eastAsia="Jost"/>
                <w:b w:val="0"/>
                <w:i w:val="0"/>
                <w:color w:val="4A3A2C"/>
                <w:sz w:val="17"/>
              </w:rPr>
              <w:t>Website and social</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Enquiries via </w:t>
            </w:r>
            <w:r>
              <w:rPr>
                <w:rFonts w:ascii="Jost" w:hAnsi="Jost" w:cs="Jost" w:eastAsia="Jost"/>
                <w:b w:val="0"/>
                <w:i w:val="0"/>
                <w:color w:val="A6754C"/>
                <w:sz w:val="17"/>
              </w:rPr>
              <w:t>[Website]</w:t>
            </w:r>
            <w:r>
              <w:rPr>
                <w:rFonts w:ascii="Jost" w:hAnsi="Jost" w:cs="Jost" w:eastAsia="Jost"/>
                <w:b w:val="0"/>
                <w:i w:val="0"/>
                <w:color w:val="4A3A2C"/>
                <w:sz w:val="17"/>
              </w:rPr>
              <w:t xml:space="preserve"> and </w:t>
            </w:r>
            <w:r>
              <w:rPr>
                <w:rFonts w:ascii="Jost" w:hAnsi="Jost" w:cs="Jost" w:eastAsia="Jost"/>
                <w:b w:val="0"/>
                <w:i w:val="0"/>
                <w:color w:val="A6754C"/>
                <w:sz w:val="17"/>
              </w:rPr>
              <w:t>[Instagram]</w:t>
            </w:r>
          </w:p>
        </w:tc>
        <w:tc>
          <w:tcPr>
            <w:tcW w:type="dxa" w:w="2353"/>
            <w:shd w:val="clear" w:color="auto" w:fill="FBF5EE"/>
          </w:tcPr>
          <w:p>
            <w:pPr>
              <w:spacing w:before="40" w:after="40" w:line="276" w:lineRule="auto"/>
            </w:pPr>
            <w:r>
              <w:rPr>
                <w:rFonts w:ascii="Jost" w:hAnsi="Jost" w:cs="Jost" w:eastAsia="Jost"/>
                <w:b w:val="0"/>
                <w:i w:val="0"/>
                <w:color w:val="4A3A2C"/>
                <w:sz w:val="17"/>
              </w:rPr>
              <w:t>Responding to enquiries</w:t>
            </w:r>
          </w:p>
        </w:tc>
        <w:tc>
          <w:tcPr>
            <w:tcW w:type="dxa" w:w="2353"/>
            <w:shd w:val="clear" w:color="auto" w:fill="FBF5EE"/>
          </w:tcPr>
          <w:p>
            <w:pPr>
              <w:spacing w:before="40" w:after="40" w:line="276" w:lineRule="auto"/>
            </w:pPr>
            <w:r>
              <w:rPr>
                <w:rFonts w:ascii="Jost" w:hAnsi="Jost" w:cs="Jost" w:eastAsia="Jost"/>
                <w:b w:val="0"/>
                <w:i w:val="0"/>
                <w:color w:val="4A3A2C"/>
                <w:sz w:val="17"/>
              </w:rPr>
              <w:t>Legitimate interest; consent</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We do not take card numbers on paper. Payments are processed by </w:t>
      </w:r>
      <w:r>
        <w:rPr>
          <w:rFonts w:ascii="Jost" w:hAnsi="Jost" w:cs="Jost" w:eastAsia="Jost"/>
          <w:b w:val="0"/>
          <w:i w:val="0"/>
          <w:color w:val="A6754C"/>
          <w:sz w:val="20"/>
        </w:rPr>
        <w:t>[Payment provider]</w:t>
      </w:r>
      <w:r>
        <w:rPr>
          <w:rFonts w:ascii="Jost" w:hAnsi="Jost" w:cs="Jost" w:eastAsia="Jost"/>
          <w:b w:val="0"/>
          <w:i w:val="0"/>
          <w:color w:val="4A3A2C"/>
          <w:sz w:val="20"/>
        </w:rPr>
        <w:t>; we store only a token and the last four digits.</w:t>
      </w:r>
    </w:p>
    <w:p>
      <w:pPr>
        <w:keepNext/>
        <w:spacing w:before="280" w:after="100" w:line="264" w:lineRule="auto"/>
      </w:pPr>
      <w:r>
        <w:rPr>
          <w:rFonts w:ascii="Marcellus" w:hAnsi="Marcellus" w:cs="Marcellus" w:eastAsia="Marcellus"/>
          <w:color w:val="221913"/>
          <w:sz w:val="28"/>
        </w:rPr>
        <w:t>5. Consent</w:t>
      </w:r>
    </w:p>
    <w:p>
      <w:pPr>
        <w:pStyle w:val="ListBullet"/>
        <w:spacing w:before="0" w:after="60" w:line="300" w:lineRule="auto"/>
      </w:pPr>
      <w:r>
        <w:rPr>
          <w:rFonts w:ascii="Jost" w:hAnsi="Jost" w:cs="Jost" w:eastAsia="Jost"/>
          <w:b w:val="0"/>
          <w:i w:val="0"/>
          <w:color w:val="4A3A2C"/>
          <w:sz w:val="20"/>
        </w:rPr>
        <w:t>Health data is collected only with the guest's explicit, informed consent, given on the intake form before the first session.</w:t>
      </w:r>
    </w:p>
    <w:p>
      <w:pPr>
        <w:pStyle w:val="ListBullet"/>
        <w:spacing w:before="0" w:after="60" w:line="300" w:lineRule="auto"/>
      </w:pPr>
      <w:r>
        <w:rPr>
          <w:rFonts w:ascii="Jost" w:hAnsi="Jost" w:cs="Jost" w:eastAsia="Jost"/>
          <w:b w:val="0"/>
          <w:i w:val="0"/>
          <w:color w:val="4A3A2C"/>
          <w:sz w:val="20"/>
        </w:rPr>
        <w:t>Consent is specific (health screening is separate from marketing), recorded with date and time, and can be withdrawn at any time. Withdrawing consent for health screening means we cannot safely provide that modality.</w:t>
      </w:r>
    </w:p>
    <w:p>
      <w:pPr>
        <w:pStyle w:val="ListBullet"/>
        <w:spacing w:before="0" w:after="60" w:line="300" w:lineRule="auto"/>
      </w:pPr>
      <w:r>
        <w:rPr>
          <w:rFonts w:ascii="Jost" w:hAnsi="Jost" w:cs="Jost" w:eastAsia="Jost"/>
          <w:b w:val="0"/>
          <w:i w:val="0"/>
          <w:color w:val="4A3A2C"/>
          <w:sz w:val="20"/>
        </w:rPr>
        <w:t xml:space="preserve">Guests under 18: </w:t>
      </w:r>
      <w:r>
        <w:rPr>
          <w:rFonts w:ascii="Jost" w:hAnsi="Jost" w:cs="Jost" w:eastAsia="Jost"/>
          <w:b w:val="0"/>
          <w:i w:val="0"/>
          <w:color w:val="A6754C"/>
          <w:sz w:val="20"/>
        </w:rPr>
        <w:t>[Minimum age policy]</w:t>
      </w:r>
      <w:r>
        <w:rPr>
          <w:rFonts w:ascii="Jost" w:hAnsi="Jost" w:cs="Jost" w:eastAsia="Jost"/>
          <w:b w:val="0"/>
          <w:i w:val="0"/>
          <w:color w:val="4A3A2C"/>
          <w:sz w:val="20"/>
        </w:rPr>
        <w:t>; a parent or guardian gives consent.</w:t>
      </w:r>
    </w:p>
    <w:p>
      <w:pPr>
        <w:pStyle w:val="ListBullet"/>
        <w:spacing w:before="0" w:after="60" w:line="300" w:lineRule="auto"/>
      </w:pPr>
      <w:r>
        <w:rPr>
          <w:rFonts w:ascii="Jost" w:hAnsi="Jost" w:cs="Jost" w:eastAsia="Jost"/>
          <w:b w:val="0"/>
          <w:i w:val="0"/>
          <w:color w:val="4A3A2C"/>
          <w:sz w:val="20"/>
        </w:rPr>
        <w:t>Marketing consent is never a condition of booking.</w:t>
      </w:r>
    </w:p>
    <w:p>
      <w:pPr>
        <w:keepNext/>
        <w:spacing w:before="280" w:after="100" w:line="264" w:lineRule="auto"/>
      </w:pPr>
      <w:r>
        <w:rPr>
          <w:rFonts w:ascii="Marcellus" w:hAnsi="Marcellus" w:cs="Marcellus" w:eastAsia="Marcellus"/>
          <w:color w:val="221913"/>
          <w:sz w:val="28"/>
        </w:rPr>
        <w:t>6. Retention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Record</w:t>
            </w:r>
          </w:p>
        </w:tc>
        <w:tc>
          <w:tcPr>
            <w:tcW w:type="dxa" w:w="4706"/>
            <w:shd w:val="clear" w:color="auto" w:fill="221913"/>
          </w:tcPr>
          <w:p>
            <w:pPr>
              <w:spacing w:before="40" w:after="40" w:line="276" w:lineRule="auto"/>
            </w:pPr>
            <w:r>
              <w:rPr>
                <w:rFonts w:ascii="Jost" w:hAnsi="Jost" w:cs="Jost" w:eastAsia="Jost"/>
                <w:b/>
                <w:i w:val="0"/>
                <w:color w:val="FBF5EE"/>
                <w:sz w:val="17"/>
              </w:rPr>
              <w:t>Retention period</w:t>
            </w:r>
          </w:p>
        </w:tc>
      </w:tr>
      <w:tr>
        <w:tc>
          <w:tcPr>
            <w:tcW w:type="dxa" w:w="4706"/>
          </w:tcPr>
          <w:p>
            <w:pPr>
              <w:spacing w:before="40" w:after="40" w:line="276" w:lineRule="auto"/>
            </w:pPr>
            <w:r>
              <w:rPr>
                <w:rFonts w:ascii="Jost" w:hAnsi="Jost" w:cs="Jost" w:eastAsia="Jost"/>
                <w:b w:val="0"/>
                <w:i w:val="0"/>
                <w:color w:val="4A3A2C"/>
                <w:sz w:val="17"/>
              </w:rPr>
              <w:t>Intake and health screening forms</w:t>
            </w:r>
          </w:p>
        </w:tc>
        <w:tc>
          <w:tcPr>
            <w:tcW w:type="dxa" w:w="4706"/>
          </w:tcPr>
          <w:p>
            <w:pPr>
              <w:spacing w:before="40" w:after="40" w:line="276" w:lineRule="auto"/>
            </w:pPr>
            <w:r>
              <w:rPr>
                <w:rFonts w:ascii="Jost" w:hAnsi="Jost" w:cs="Jost" w:eastAsia="Jost"/>
                <w:b w:val="0"/>
                <w:i w:val="0"/>
                <w:color w:val="A6754C"/>
                <w:sz w:val="17"/>
              </w:rPr>
              <w:t>[___ years after last visit]</w:t>
            </w:r>
          </w:p>
        </w:tc>
      </w:tr>
      <w:tr>
        <w:tc>
          <w:tcPr>
            <w:tcW w:type="dxa" w:w="4706"/>
            <w:shd w:val="clear" w:color="auto" w:fill="FBF5EE"/>
          </w:tcPr>
          <w:p>
            <w:pPr>
              <w:spacing w:before="40" w:after="40" w:line="276" w:lineRule="auto"/>
            </w:pPr>
            <w:r>
              <w:rPr>
                <w:rFonts w:ascii="Jost" w:hAnsi="Jost" w:cs="Jost" w:eastAsia="Jost"/>
                <w:b w:val="0"/>
                <w:i w:val="0"/>
                <w:color w:val="4A3A2C"/>
                <w:sz w:val="17"/>
              </w:rPr>
              <w:t>IV clinical records</w:t>
            </w:r>
          </w:p>
        </w:tc>
        <w:tc>
          <w:tcPr>
            <w:tcW w:type="dxa" w:w="4706"/>
            <w:shd w:val="clear" w:color="auto" w:fill="FBF5EE"/>
          </w:tcPr>
          <w:p>
            <w:pPr>
              <w:spacing w:before="40" w:after="40" w:line="276" w:lineRule="auto"/>
            </w:pPr>
            <w:r>
              <w:rPr>
                <w:rFonts w:ascii="Jost" w:hAnsi="Jost" w:cs="Jost" w:eastAsia="Jost"/>
                <w:b w:val="0"/>
                <w:i w:val="0"/>
                <w:color w:val="A6754C"/>
                <w:sz w:val="17"/>
              </w:rPr>
              <w:t>[Per DHA requirements, ___ years]</w:t>
            </w:r>
          </w:p>
        </w:tc>
      </w:tr>
      <w:tr>
        <w:tc>
          <w:tcPr>
            <w:tcW w:type="dxa" w:w="4706"/>
          </w:tcPr>
          <w:p>
            <w:pPr>
              <w:spacing w:before="40" w:after="40" w:line="276" w:lineRule="auto"/>
            </w:pPr>
            <w:r>
              <w:rPr>
                <w:rFonts w:ascii="Jost" w:hAnsi="Jost" w:cs="Jost" w:eastAsia="Jost"/>
                <w:b w:val="0"/>
                <w:i w:val="0"/>
                <w:color w:val="4A3A2C"/>
                <w:sz w:val="17"/>
              </w:rPr>
              <w:t>Signed consents and waivers</w:t>
            </w:r>
          </w:p>
        </w:tc>
        <w:tc>
          <w:tcPr>
            <w:tcW w:type="dxa" w:w="4706"/>
          </w:tcPr>
          <w:p>
            <w:pPr>
              <w:spacing w:before="40" w:after="40" w:line="276" w:lineRule="auto"/>
            </w:pPr>
            <w:r>
              <w:rPr>
                <w:rFonts w:ascii="Jost" w:hAnsi="Jost" w:cs="Jost" w:eastAsia="Jost"/>
                <w:b w:val="0"/>
                <w:i w:val="0"/>
                <w:color w:val="A6754C"/>
                <w:sz w:val="17"/>
              </w:rPr>
              <w:t>[___ years after last visit]</w:t>
            </w:r>
          </w:p>
        </w:tc>
      </w:tr>
      <w:tr>
        <w:tc>
          <w:tcPr>
            <w:tcW w:type="dxa" w:w="4706"/>
            <w:shd w:val="clear" w:color="auto" w:fill="FBF5EE"/>
          </w:tcPr>
          <w:p>
            <w:pPr>
              <w:spacing w:before="40" w:after="40" w:line="276" w:lineRule="auto"/>
            </w:pPr>
            <w:r>
              <w:rPr>
                <w:rFonts w:ascii="Jost" w:hAnsi="Jost" w:cs="Jost" w:eastAsia="Jost"/>
                <w:b w:val="0"/>
                <w:i w:val="0"/>
                <w:color w:val="4A3A2C"/>
                <w:sz w:val="17"/>
              </w:rPr>
              <w:t>Booking and visit history</w:t>
            </w:r>
          </w:p>
        </w:tc>
        <w:tc>
          <w:tcPr>
            <w:tcW w:type="dxa" w:w="4706"/>
            <w:shd w:val="clear" w:color="auto" w:fill="FBF5EE"/>
          </w:tcPr>
          <w:p>
            <w:pPr>
              <w:spacing w:before="40" w:after="40" w:line="276" w:lineRule="auto"/>
            </w:pPr>
            <w:r>
              <w:rPr>
                <w:rFonts w:ascii="Jost" w:hAnsi="Jost" w:cs="Jost" w:eastAsia="Jost"/>
                <w:b w:val="0"/>
                <w:i w:val="0"/>
                <w:color w:val="A6754C"/>
                <w:sz w:val="17"/>
              </w:rPr>
              <w:t>[___ years after last visit]</w:t>
            </w:r>
          </w:p>
        </w:tc>
      </w:tr>
      <w:tr>
        <w:tc>
          <w:tcPr>
            <w:tcW w:type="dxa" w:w="4706"/>
          </w:tcPr>
          <w:p>
            <w:pPr>
              <w:spacing w:before="40" w:after="40" w:line="276" w:lineRule="auto"/>
            </w:pPr>
            <w:r>
              <w:rPr>
                <w:rFonts w:ascii="Jost" w:hAnsi="Jost" w:cs="Jost" w:eastAsia="Jost"/>
                <w:b w:val="0"/>
                <w:i w:val="0"/>
                <w:color w:val="4A3A2C"/>
                <w:sz w:val="17"/>
              </w:rPr>
              <w:t>Payment and tax records</w:t>
            </w:r>
          </w:p>
        </w:tc>
        <w:tc>
          <w:tcPr>
            <w:tcW w:type="dxa" w:w="4706"/>
          </w:tcPr>
          <w:p>
            <w:pPr>
              <w:spacing w:before="40" w:after="40" w:line="276" w:lineRule="auto"/>
            </w:pPr>
            <w:r>
              <w:rPr>
                <w:rFonts w:ascii="Jost" w:hAnsi="Jost" w:cs="Jost" w:eastAsia="Jost"/>
                <w:b w:val="0"/>
                <w:i w:val="0"/>
                <w:color w:val="A6754C"/>
                <w:sz w:val="17"/>
              </w:rPr>
              <w:t>[Per UAE tax law, ___ years]</w:t>
            </w:r>
          </w:p>
        </w:tc>
      </w:tr>
      <w:tr>
        <w:tc>
          <w:tcPr>
            <w:tcW w:type="dxa" w:w="4706"/>
            <w:shd w:val="clear" w:color="auto" w:fill="FBF5EE"/>
          </w:tcPr>
          <w:p>
            <w:pPr>
              <w:spacing w:before="40" w:after="40" w:line="276" w:lineRule="auto"/>
            </w:pPr>
            <w:r>
              <w:rPr>
                <w:rFonts w:ascii="Jost" w:hAnsi="Jost" w:cs="Jost" w:eastAsia="Jost"/>
                <w:b w:val="0"/>
                <w:i w:val="0"/>
                <w:color w:val="4A3A2C"/>
                <w:sz w:val="17"/>
              </w:rPr>
              <w:t>CCTV footage</w:t>
            </w:r>
          </w:p>
        </w:tc>
        <w:tc>
          <w:tcPr>
            <w:tcW w:type="dxa" w:w="4706"/>
            <w:shd w:val="clear" w:color="auto" w:fill="FBF5EE"/>
          </w:tcPr>
          <w:p>
            <w:pPr>
              <w:spacing w:before="40" w:after="40" w:line="276" w:lineRule="auto"/>
            </w:pPr>
            <w:r>
              <w:rPr>
                <w:rFonts w:ascii="Jost" w:hAnsi="Jost" w:cs="Jost" w:eastAsia="Jost"/>
                <w:b w:val="0"/>
                <w:i w:val="0"/>
                <w:color w:val="A6754C"/>
                <w:sz w:val="17"/>
              </w:rPr>
              <w:t>[___ days]</w:t>
            </w:r>
            <w:r>
              <w:rPr>
                <w:rFonts w:ascii="Jost" w:hAnsi="Jost" w:cs="Jost" w:eastAsia="Jost"/>
                <w:b w:val="0"/>
                <w:i w:val="0"/>
                <w:color w:val="4A3A2C"/>
                <w:sz w:val="17"/>
              </w:rPr>
              <w:t>, unless needed for an incident</w:t>
            </w:r>
          </w:p>
        </w:tc>
      </w:tr>
      <w:tr>
        <w:tc>
          <w:tcPr>
            <w:tcW w:type="dxa" w:w="4706"/>
          </w:tcPr>
          <w:p>
            <w:pPr>
              <w:spacing w:before="40" w:after="40" w:line="276" w:lineRule="auto"/>
            </w:pPr>
            <w:r>
              <w:rPr>
                <w:rFonts w:ascii="Jost" w:hAnsi="Jost" w:cs="Jost" w:eastAsia="Jost"/>
                <w:b w:val="0"/>
                <w:i w:val="0"/>
                <w:color w:val="4A3A2C"/>
                <w:sz w:val="17"/>
              </w:rPr>
              <w:t>Incident reports</w:t>
            </w:r>
          </w:p>
        </w:tc>
        <w:tc>
          <w:tcPr>
            <w:tcW w:type="dxa" w:w="4706"/>
          </w:tcPr>
          <w:p>
            <w:pPr>
              <w:spacing w:before="40" w:after="40" w:line="276" w:lineRule="auto"/>
            </w:pPr>
            <w:r>
              <w:rPr>
                <w:rFonts w:ascii="Jost" w:hAnsi="Jost" w:cs="Jost" w:eastAsia="Jost"/>
                <w:b w:val="0"/>
                <w:i w:val="0"/>
                <w:color w:val="A6754C"/>
                <w:sz w:val="17"/>
              </w:rPr>
              <w:t>[___ years]</w:t>
            </w:r>
          </w:p>
        </w:tc>
      </w:tr>
      <w:tr>
        <w:tc>
          <w:tcPr>
            <w:tcW w:type="dxa" w:w="4706"/>
            <w:shd w:val="clear" w:color="auto" w:fill="FBF5EE"/>
          </w:tcPr>
          <w:p>
            <w:pPr>
              <w:spacing w:before="40" w:after="40" w:line="276" w:lineRule="auto"/>
            </w:pPr>
            <w:r>
              <w:rPr>
                <w:rFonts w:ascii="Jost" w:hAnsi="Jost" w:cs="Jost" w:eastAsia="Jost"/>
                <w:b w:val="0"/>
                <w:i w:val="0"/>
                <w:color w:val="4A3A2C"/>
                <w:sz w:val="17"/>
              </w:rPr>
              <w:t>Marketing list</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Until consent is withdrawn or </w:t>
            </w:r>
            <w:r>
              <w:rPr>
                <w:rFonts w:ascii="Jost" w:hAnsi="Jost" w:cs="Jost" w:eastAsia="Jost"/>
                <w:b w:val="0"/>
                <w:i w:val="0"/>
                <w:color w:val="A6754C"/>
                <w:sz w:val="17"/>
              </w:rPr>
              <w:t>[___ years]</w:t>
            </w:r>
            <w:r>
              <w:rPr>
                <w:rFonts w:ascii="Jost" w:hAnsi="Jost" w:cs="Jost" w:eastAsia="Jost"/>
                <w:b w:val="0"/>
                <w:i w:val="0"/>
                <w:color w:val="4A3A2C"/>
                <w:sz w:val="17"/>
              </w:rPr>
              <w:t xml:space="preserve"> of inactivity</w:t>
            </w:r>
          </w:p>
        </w:tc>
      </w:tr>
      <w:tr>
        <w:tc>
          <w:tcPr>
            <w:tcW w:type="dxa" w:w="4706"/>
          </w:tcPr>
          <w:p>
            <w:pPr>
              <w:spacing w:before="40" w:after="40" w:line="276" w:lineRule="auto"/>
            </w:pPr>
            <w:r>
              <w:rPr>
                <w:rFonts w:ascii="Jost" w:hAnsi="Jost" w:cs="Jost" w:eastAsia="Jost"/>
                <w:b w:val="0"/>
                <w:i w:val="0"/>
                <w:color w:val="4A3A2C"/>
                <w:sz w:val="17"/>
              </w:rPr>
              <w:t>Founding member waiting list (if not converted)</w:t>
            </w:r>
          </w:p>
        </w:tc>
        <w:tc>
          <w:tcPr>
            <w:tcW w:type="dxa" w:w="4706"/>
          </w:tcPr>
          <w:p>
            <w:pPr>
              <w:spacing w:before="40" w:after="40" w:line="276" w:lineRule="auto"/>
            </w:pPr>
            <w:r>
              <w:rPr>
                <w:rFonts w:ascii="Jost" w:hAnsi="Jost" w:cs="Jost" w:eastAsia="Jost"/>
                <w:b w:val="0"/>
                <w:i w:val="0"/>
                <w:color w:val="A6754C"/>
                <w:sz w:val="17"/>
              </w:rPr>
              <w:t>[___ months]</w:t>
            </w:r>
            <w:r>
              <w:rPr>
                <w:rFonts w:ascii="Jost" w:hAnsi="Jost" w:cs="Jost" w:eastAsia="Jost"/>
                <w:b w:val="0"/>
                <w:i w:val="0"/>
                <w:color w:val="4A3A2C"/>
                <w:sz w:val="17"/>
              </w:rPr>
              <w:t xml:space="preserve"> after launch</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At the end of the period, data is securely deleted or anonymised. Paper is cross-cut shredded by </w:t>
      </w:r>
      <w:r>
        <w:rPr>
          <w:rFonts w:ascii="Jost" w:hAnsi="Jost" w:cs="Jost" w:eastAsia="Jost"/>
          <w:b w:val="0"/>
          <w:i w:val="0"/>
          <w:color w:val="A6754C"/>
          <w:sz w:val="20"/>
        </w:rPr>
        <w:t>[Shredding contractor]</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7. Access control and security</w:t>
      </w:r>
    </w:p>
    <w:p>
      <w:pPr>
        <w:pStyle w:val="ListBullet"/>
        <w:spacing w:before="0" w:after="60" w:line="300" w:lineRule="auto"/>
      </w:pPr>
      <w:r>
        <w:rPr>
          <w:rFonts w:ascii="Jost" w:hAnsi="Jost" w:cs="Jost" w:eastAsia="Jost"/>
          <w:b w:val="0"/>
          <w:i w:val="0"/>
          <w:color w:val="4A3A2C"/>
          <w:sz w:val="20"/>
        </w:rPr>
        <w:t>Access is on a need-to-know basis by role: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Role</w:t>
            </w:r>
          </w:p>
        </w:tc>
        <w:tc>
          <w:tcPr>
            <w:tcW w:type="dxa" w:w="1569"/>
            <w:shd w:val="clear" w:color="auto" w:fill="221913"/>
          </w:tcPr>
          <w:p>
            <w:pPr>
              <w:spacing w:before="40" w:after="40" w:line="276" w:lineRule="auto"/>
            </w:pPr>
            <w:r>
              <w:rPr>
                <w:rFonts w:ascii="Jost" w:hAnsi="Jost" w:cs="Jost" w:eastAsia="Jost"/>
                <w:b/>
                <w:i w:val="0"/>
                <w:color w:val="FBF5EE"/>
                <w:sz w:val="17"/>
              </w:rPr>
              <w:t>Booking and contact</w:t>
            </w:r>
          </w:p>
        </w:tc>
        <w:tc>
          <w:tcPr>
            <w:tcW w:type="dxa" w:w="1569"/>
            <w:shd w:val="clear" w:color="auto" w:fill="221913"/>
          </w:tcPr>
          <w:p>
            <w:pPr>
              <w:spacing w:before="40" w:after="40" w:line="276" w:lineRule="auto"/>
            </w:pPr>
            <w:r>
              <w:rPr>
                <w:rFonts w:ascii="Jost" w:hAnsi="Jost" w:cs="Jost" w:eastAsia="Jost"/>
                <w:b/>
                <w:i w:val="0"/>
                <w:color w:val="FBF5EE"/>
                <w:sz w:val="17"/>
              </w:rPr>
              <w:t>Wellness intake</w:t>
            </w:r>
          </w:p>
        </w:tc>
        <w:tc>
          <w:tcPr>
            <w:tcW w:type="dxa" w:w="1569"/>
            <w:shd w:val="clear" w:color="auto" w:fill="221913"/>
          </w:tcPr>
          <w:p>
            <w:pPr>
              <w:spacing w:before="40" w:after="40" w:line="276" w:lineRule="auto"/>
            </w:pPr>
            <w:r>
              <w:rPr>
                <w:rFonts w:ascii="Jost" w:hAnsi="Jost" w:cs="Jost" w:eastAsia="Jost"/>
                <w:b/>
                <w:i w:val="0"/>
                <w:color w:val="FBF5EE"/>
                <w:sz w:val="17"/>
              </w:rPr>
              <w:t>IV clinical records</w:t>
            </w:r>
          </w:p>
        </w:tc>
        <w:tc>
          <w:tcPr>
            <w:tcW w:type="dxa" w:w="1569"/>
            <w:shd w:val="clear" w:color="auto" w:fill="221913"/>
          </w:tcPr>
          <w:p>
            <w:pPr>
              <w:spacing w:before="40" w:after="40" w:line="276" w:lineRule="auto"/>
            </w:pPr>
            <w:r>
              <w:rPr>
                <w:rFonts w:ascii="Jost" w:hAnsi="Jost" w:cs="Jost" w:eastAsia="Jost"/>
                <w:b/>
                <w:i w:val="0"/>
                <w:color w:val="FBF5EE"/>
                <w:sz w:val="17"/>
              </w:rPr>
              <w:t>Payment</w:t>
            </w:r>
          </w:p>
        </w:tc>
        <w:tc>
          <w:tcPr>
            <w:tcW w:type="dxa" w:w="1569"/>
            <w:shd w:val="clear" w:color="auto" w:fill="221913"/>
          </w:tcPr>
          <w:p>
            <w:pPr>
              <w:spacing w:before="40" w:after="40" w:line="276" w:lineRule="auto"/>
            </w:pPr>
            <w:r>
              <w:rPr>
                <w:rFonts w:ascii="Jost" w:hAnsi="Jost" w:cs="Jost" w:eastAsia="Jost"/>
                <w:b/>
                <w:i w:val="0"/>
                <w:color w:val="FBF5EE"/>
                <w:sz w:val="17"/>
              </w:rPr>
              <w:t>CCTV</w:t>
            </w:r>
          </w:p>
        </w:tc>
      </w:tr>
      <w:tr>
        <w:tc>
          <w:tcPr>
            <w:tcW w:type="dxa" w:w="1569"/>
          </w:tcPr>
          <w:p>
            <w:pPr>
              <w:spacing w:before="40" w:after="40" w:line="276" w:lineRule="auto"/>
            </w:pPr>
            <w:r>
              <w:rPr>
                <w:rFonts w:ascii="Jost" w:hAnsi="Jost" w:cs="Jost" w:eastAsia="Jost"/>
                <w:b w:val="0"/>
                <w:i w:val="0"/>
                <w:color w:val="4A3A2C"/>
                <w:sz w:val="17"/>
              </w:rPr>
              <w:t>Hosts</w:t>
            </w:r>
          </w:p>
        </w:tc>
        <w:tc>
          <w:tcPr>
            <w:tcW w:type="dxa" w:w="1569"/>
          </w:tcPr>
          <w:p>
            <w:pPr>
              <w:spacing w:before="40" w:after="40" w:line="276" w:lineRule="auto"/>
            </w:pPr>
            <w:r>
              <w:rPr>
                <w:rFonts w:ascii="Jost" w:hAnsi="Jost" w:cs="Jost" w:eastAsia="Jost"/>
                <w:b w:val="0"/>
                <w:i w:val="0"/>
                <w:color w:val="4A3A2C"/>
                <w:sz w:val="17"/>
              </w:rPr>
              <w:t>Yes</w:t>
            </w:r>
          </w:p>
        </w:tc>
        <w:tc>
          <w:tcPr>
            <w:tcW w:type="dxa" w:w="1569"/>
          </w:tcPr>
          <w:p>
            <w:pPr>
              <w:spacing w:before="40" w:after="40" w:line="276" w:lineRule="auto"/>
            </w:pPr>
            <w:r>
              <w:rPr>
                <w:rFonts w:ascii="Jost" w:hAnsi="Jost" w:cs="Jost" w:eastAsia="Jost"/>
                <w:b w:val="0"/>
                <w:i w:val="0"/>
                <w:color w:val="4A3A2C"/>
                <w:sz w:val="17"/>
              </w:rPr>
              <w:t>Yes (for their guest)</w:t>
            </w:r>
          </w:p>
        </w:tc>
        <w:tc>
          <w:tcPr>
            <w:tcW w:type="dxa" w:w="1569"/>
          </w:tcPr>
          <w:p>
            <w:pPr>
              <w:spacing w:before="40" w:after="40" w:line="276" w:lineRule="auto"/>
            </w:pPr>
            <w:r>
              <w:rPr>
                <w:rFonts w:ascii="Jost" w:hAnsi="Jost" w:cs="Jost" w:eastAsia="Jost"/>
                <w:b w:val="0"/>
                <w:i w:val="0"/>
                <w:color w:val="4A3A2C"/>
                <w:sz w:val="17"/>
              </w:rPr>
              <w:t>No</w:t>
            </w:r>
          </w:p>
        </w:tc>
        <w:tc>
          <w:tcPr>
            <w:tcW w:type="dxa" w:w="1569"/>
          </w:tcPr>
          <w:p>
            <w:pPr>
              <w:spacing w:before="40" w:after="40" w:line="276" w:lineRule="auto"/>
            </w:pPr>
            <w:r>
              <w:rPr>
                <w:rFonts w:ascii="Jost" w:hAnsi="Jost" w:cs="Jost" w:eastAsia="Jost"/>
                <w:b w:val="0"/>
                <w:i w:val="0"/>
                <w:color w:val="4A3A2C"/>
                <w:sz w:val="17"/>
              </w:rPr>
              <w:t>Status only</w:t>
            </w:r>
          </w:p>
        </w:tc>
        <w:tc>
          <w:tcPr>
            <w:tcW w:type="dxa" w:w="1569"/>
          </w:tcPr>
          <w:p>
            <w:pPr>
              <w:spacing w:before="40" w:after="40" w:line="276" w:lineRule="auto"/>
            </w:pPr>
            <w:r>
              <w:rPr>
                <w:rFonts w:ascii="Jost" w:hAnsi="Jost" w:cs="Jost" w:eastAsia="Jost"/>
                <w:b w:val="0"/>
                <w:i w:val="0"/>
                <w:color w:val="4A3A2C"/>
                <w:sz w:val="17"/>
              </w:rPr>
              <w:t>No</w:t>
            </w:r>
          </w:p>
        </w:tc>
      </w:tr>
      <w:tr>
        <w:tc>
          <w:tcPr>
            <w:tcW w:type="dxa" w:w="1569"/>
            <w:shd w:val="clear" w:color="auto" w:fill="FBF5EE"/>
          </w:tcPr>
          <w:p>
            <w:pPr>
              <w:spacing w:before="40" w:after="40" w:line="276" w:lineRule="auto"/>
            </w:pPr>
            <w:r>
              <w:rPr>
                <w:rFonts w:ascii="Jost" w:hAnsi="Jost" w:cs="Jost" w:eastAsia="Jost"/>
                <w:b w:val="0"/>
                <w:i w:val="0"/>
                <w:color w:val="4A3A2C"/>
                <w:sz w:val="17"/>
              </w:rPr>
              <w:t>Clinicians</w:t>
            </w:r>
          </w:p>
        </w:tc>
        <w:tc>
          <w:tcPr>
            <w:tcW w:type="dxa" w:w="1569"/>
            <w:shd w:val="clear" w:color="auto" w:fill="FBF5EE"/>
          </w:tcPr>
          <w:p>
            <w:pPr>
              <w:spacing w:before="40" w:after="40" w:line="276" w:lineRule="auto"/>
            </w:pPr>
            <w:r>
              <w:rPr>
                <w:rFonts w:ascii="Jost" w:hAnsi="Jost" w:cs="Jost" w:eastAsia="Jost"/>
                <w:b w:val="0"/>
                <w:i w:val="0"/>
                <w:color w:val="4A3A2C"/>
                <w:sz w:val="17"/>
              </w:rPr>
              <w:t>Yes</w:t>
            </w:r>
          </w:p>
        </w:tc>
        <w:tc>
          <w:tcPr>
            <w:tcW w:type="dxa" w:w="1569"/>
            <w:shd w:val="clear" w:color="auto" w:fill="FBF5EE"/>
          </w:tcPr>
          <w:p>
            <w:pPr>
              <w:spacing w:before="40" w:after="40" w:line="276" w:lineRule="auto"/>
            </w:pPr>
            <w:r>
              <w:rPr>
                <w:rFonts w:ascii="Jost" w:hAnsi="Jost" w:cs="Jost" w:eastAsia="Jost"/>
                <w:b w:val="0"/>
                <w:i w:val="0"/>
                <w:color w:val="4A3A2C"/>
                <w:sz w:val="17"/>
              </w:rPr>
              <w:t>Yes</w:t>
            </w:r>
          </w:p>
        </w:tc>
        <w:tc>
          <w:tcPr>
            <w:tcW w:type="dxa" w:w="1569"/>
            <w:shd w:val="clear" w:color="auto" w:fill="FBF5EE"/>
          </w:tcPr>
          <w:p>
            <w:pPr>
              <w:spacing w:before="40" w:after="40" w:line="276" w:lineRule="auto"/>
            </w:pPr>
            <w:r>
              <w:rPr>
                <w:rFonts w:ascii="Jost" w:hAnsi="Jost" w:cs="Jost" w:eastAsia="Jost"/>
                <w:b w:val="0"/>
                <w:i w:val="0"/>
                <w:color w:val="4A3A2C"/>
                <w:sz w:val="17"/>
              </w:rPr>
              <w:t>Yes</w:t>
            </w:r>
          </w:p>
        </w:tc>
        <w:tc>
          <w:tcPr>
            <w:tcW w:type="dxa" w:w="1569"/>
            <w:shd w:val="clear" w:color="auto" w:fill="FBF5EE"/>
          </w:tcPr>
          <w:p>
            <w:pPr>
              <w:spacing w:before="40" w:after="40" w:line="276" w:lineRule="auto"/>
            </w:pPr>
            <w:r>
              <w:rPr>
                <w:rFonts w:ascii="Jost" w:hAnsi="Jost" w:cs="Jost" w:eastAsia="Jost"/>
                <w:b w:val="0"/>
                <w:i w:val="0"/>
                <w:color w:val="4A3A2C"/>
                <w:sz w:val="17"/>
              </w:rPr>
              <w:t>No</w:t>
            </w:r>
          </w:p>
        </w:tc>
        <w:tc>
          <w:tcPr>
            <w:tcW w:type="dxa" w:w="1569"/>
            <w:shd w:val="clear" w:color="auto" w:fill="FBF5EE"/>
          </w:tcPr>
          <w:p>
            <w:pPr>
              <w:spacing w:before="40" w:after="40" w:line="276" w:lineRule="auto"/>
            </w:pPr>
            <w:r>
              <w:rPr>
                <w:rFonts w:ascii="Jost" w:hAnsi="Jost" w:cs="Jost" w:eastAsia="Jost"/>
                <w:b w:val="0"/>
                <w:i w:val="0"/>
                <w:color w:val="4A3A2C"/>
                <w:sz w:val="17"/>
              </w:rPr>
              <w:t>No</w:t>
            </w:r>
          </w:p>
        </w:tc>
      </w:tr>
      <w:tr>
        <w:tc>
          <w:tcPr>
            <w:tcW w:type="dxa" w:w="1569"/>
          </w:tcPr>
          <w:p>
            <w:pPr>
              <w:spacing w:before="40" w:after="40" w:line="276" w:lineRule="auto"/>
            </w:pPr>
            <w:r>
              <w:rPr>
                <w:rFonts w:ascii="Jost" w:hAnsi="Jost" w:cs="Jost" w:eastAsia="Jost"/>
                <w:b w:val="0"/>
                <w:i w:val="0"/>
                <w:color w:val="4A3A2C"/>
                <w:sz w:val="17"/>
              </w:rPr>
              <w:t>Duty Manager</w:t>
            </w:r>
          </w:p>
        </w:tc>
        <w:tc>
          <w:tcPr>
            <w:tcW w:type="dxa" w:w="1569"/>
          </w:tcPr>
          <w:p>
            <w:pPr>
              <w:spacing w:before="40" w:after="40" w:line="276" w:lineRule="auto"/>
            </w:pPr>
            <w:r>
              <w:rPr>
                <w:rFonts w:ascii="Jost" w:hAnsi="Jost" w:cs="Jost" w:eastAsia="Jost"/>
                <w:b w:val="0"/>
                <w:i w:val="0"/>
                <w:color w:val="4A3A2C"/>
                <w:sz w:val="17"/>
              </w:rPr>
              <w:t>Yes</w:t>
            </w:r>
          </w:p>
        </w:tc>
        <w:tc>
          <w:tcPr>
            <w:tcW w:type="dxa" w:w="1569"/>
          </w:tcPr>
          <w:p>
            <w:pPr>
              <w:spacing w:before="40" w:after="40" w:line="276" w:lineRule="auto"/>
            </w:pPr>
            <w:r>
              <w:rPr>
                <w:rFonts w:ascii="Jost" w:hAnsi="Jost" w:cs="Jost" w:eastAsia="Jost"/>
                <w:b w:val="0"/>
                <w:i w:val="0"/>
                <w:color w:val="4A3A2C"/>
                <w:sz w:val="17"/>
              </w:rPr>
              <w:t>Yes</w:t>
            </w:r>
          </w:p>
        </w:tc>
        <w:tc>
          <w:tcPr>
            <w:tcW w:type="dxa" w:w="1569"/>
          </w:tcPr>
          <w:p>
            <w:pPr>
              <w:spacing w:before="40" w:after="40" w:line="276" w:lineRule="auto"/>
            </w:pPr>
            <w:r>
              <w:rPr>
                <w:rFonts w:ascii="Jost" w:hAnsi="Jost" w:cs="Jost" w:eastAsia="Jost"/>
                <w:b w:val="0"/>
                <w:i w:val="0"/>
                <w:color w:val="4A3A2C"/>
                <w:sz w:val="17"/>
              </w:rPr>
              <w:t>No</w:t>
            </w:r>
          </w:p>
        </w:tc>
        <w:tc>
          <w:tcPr>
            <w:tcW w:type="dxa" w:w="1569"/>
          </w:tcPr>
          <w:p>
            <w:pPr>
              <w:spacing w:before="40" w:after="40" w:line="276" w:lineRule="auto"/>
            </w:pPr>
            <w:r>
              <w:rPr>
                <w:rFonts w:ascii="Jost" w:hAnsi="Jost" w:cs="Jost" w:eastAsia="Jost"/>
                <w:b w:val="0"/>
                <w:i w:val="0"/>
                <w:color w:val="4A3A2C"/>
                <w:sz w:val="17"/>
              </w:rPr>
              <w:t>Status only</w:t>
            </w:r>
          </w:p>
        </w:tc>
        <w:tc>
          <w:tcPr>
            <w:tcW w:type="dxa" w:w="1569"/>
          </w:tcPr>
          <w:p>
            <w:pPr>
              <w:spacing w:before="40" w:after="40" w:line="276" w:lineRule="auto"/>
            </w:pPr>
            <w:r>
              <w:rPr>
                <w:rFonts w:ascii="Jost" w:hAnsi="Jost" w:cs="Jost" w:eastAsia="Jost"/>
                <w:b w:val="0"/>
                <w:i w:val="0"/>
                <w:color w:val="4A3A2C"/>
                <w:sz w:val="17"/>
              </w:rPr>
              <w:t>View</w:t>
            </w:r>
          </w:p>
        </w:tc>
      </w:tr>
      <w:tr>
        <w:tc>
          <w:tcPr>
            <w:tcW w:type="dxa" w:w="1569"/>
            <w:shd w:val="clear" w:color="auto" w:fill="FBF5EE"/>
          </w:tcPr>
          <w:p>
            <w:pPr>
              <w:spacing w:before="40" w:after="40" w:line="276" w:lineRule="auto"/>
            </w:pPr>
            <w:r>
              <w:rPr>
                <w:rFonts w:ascii="Jost" w:hAnsi="Jost" w:cs="Jost" w:eastAsia="Jost"/>
                <w:b w:val="0"/>
                <w:i w:val="0"/>
                <w:color w:val="4A3A2C"/>
                <w:sz w:val="17"/>
              </w:rPr>
              <w:t>General Manager</w:t>
            </w:r>
          </w:p>
        </w:tc>
        <w:tc>
          <w:tcPr>
            <w:tcW w:type="dxa" w:w="1569"/>
            <w:shd w:val="clear" w:color="auto" w:fill="FBF5EE"/>
          </w:tcPr>
          <w:p>
            <w:pPr>
              <w:spacing w:before="40" w:after="40" w:line="276" w:lineRule="auto"/>
            </w:pPr>
            <w:r>
              <w:rPr>
                <w:rFonts w:ascii="Jost" w:hAnsi="Jost" w:cs="Jost" w:eastAsia="Jost"/>
                <w:b w:val="0"/>
                <w:i w:val="0"/>
                <w:color w:val="4A3A2C"/>
                <w:sz w:val="17"/>
              </w:rPr>
              <w:t>Yes</w:t>
            </w:r>
          </w:p>
        </w:tc>
        <w:tc>
          <w:tcPr>
            <w:tcW w:type="dxa" w:w="1569"/>
            <w:shd w:val="clear" w:color="auto" w:fill="FBF5EE"/>
          </w:tcPr>
          <w:p>
            <w:pPr>
              <w:spacing w:before="40" w:after="40" w:line="276" w:lineRule="auto"/>
            </w:pPr>
            <w:r>
              <w:rPr>
                <w:rFonts w:ascii="Jost" w:hAnsi="Jost" w:cs="Jost" w:eastAsia="Jost"/>
                <w:b w:val="0"/>
                <w:i w:val="0"/>
                <w:color w:val="4A3A2C"/>
                <w:sz w:val="17"/>
              </w:rPr>
              <w:t>Yes</w:t>
            </w:r>
          </w:p>
        </w:tc>
        <w:tc>
          <w:tcPr>
            <w:tcW w:type="dxa" w:w="1569"/>
            <w:shd w:val="clear" w:color="auto" w:fill="FBF5EE"/>
          </w:tcPr>
          <w:p>
            <w:pPr>
              <w:spacing w:before="40" w:after="40" w:line="276" w:lineRule="auto"/>
            </w:pPr>
            <w:r>
              <w:rPr>
                <w:rFonts w:ascii="Jost" w:hAnsi="Jost" w:cs="Jost" w:eastAsia="Jost"/>
                <w:b w:val="0"/>
                <w:i w:val="0"/>
                <w:color w:val="4A3A2C"/>
                <w:sz w:val="17"/>
              </w:rPr>
              <w:t>On request with reason</w:t>
            </w:r>
          </w:p>
        </w:tc>
        <w:tc>
          <w:tcPr>
            <w:tcW w:type="dxa" w:w="1569"/>
            <w:shd w:val="clear" w:color="auto" w:fill="FBF5EE"/>
          </w:tcPr>
          <w:p>
            <w:pPr>
              <w:spacing w:before="40" w:after="40" w:line="276" w:lineRule="auto"/>
            </w:pPr>
            <w:r>
              <w:rPr>
                <w:rFonts w:ascii="Jost" w:hAnsi="Jost" w:cs="Jost" w:eastAsia="Jost"/>
                <w:b w:val="0"/>
                <w:i w:val="0"/>
                <w:color w:val="4A3A2C"/>
                <w:sz w:val="17"/>
              </w:rPr>
              <w:t>Yes</w:t>
            </w:r>
          </w:p>
        </w:tc>
        <w:tc>
          <w:tcPr>
            <w:tcW w:type="dxa" w:w="1569"/>
            <w:shd w:val="clear" w:color="auto" w:fill="FBF5EE"/>
          </w:tcPr>
          <w:p>
            <w:pPr>
              <w:spacing w:before="40" w:after="40" w:line="276" w:lineRule="auto"/>
            </w:pPr>
            <w:r>
              <w:rPr>
                <w:rFonts w:ascii="Jost" w:hAnsi="Jost" w:cs="Jost" w:eastAsia="Jost"/>
                <w:b w:val="0"/>
                <w:i w:val="0"/>
                <w:color w:val="4A3A2C"/>
                <w:sz w:val="17"/>
              </w:rPr>
              <w:t>Yes</w:t>
            </w:r>
          </w:p>
        </w:tc>
      </w:tr>
      <w:tr>
        <w:tc>
          <w:tcPr>
            <w:tcW w:type="dxa" w:w="1569"/>
          </w:tcPr>
          <w:p>
            <w:pPr>
              <w:spacing w:before="40" w:after="40" w:line="276" w:lineRule="auto"/>
            </w:pPr>
            <w:r>
              <w:rPr>
                <w:rFonts w:ascii="Jost" w:hAnsi="Jost" w:cs="Jost" w:eastAsia="Jost"/>
                <w:b w:val="0"/>
                <w:i w:val="0"/>
                <w:color w:val="4A3A2C"/>
                <w:sz w:val="17"/>
              </w:rPr>
              <w:t>Founder &amp; CEO, CEO</w:t>
            </w:r>
          </w:p>
        </w:tc>
        <w:tc>
          <w:tcPr>
            <w:tcW w:type="dxa" w:w="1569"/>
          </w:tcPr>
          <w:p>
            <w:pPr>
              <w:spacing w:before="40" w:after="40" w:line="276" w:lineRule="auto"/>
            </w:pPr>
            <w:r>
              <w:rPr>
                <w:rFonts w:ascii="Jost" w:hAnsi="Jost" w:cs="Jost" w:eastAsia="Jost"/>
                <w:b w:val="0"/>
                <w:i w:val="0"/>
                <w:color w:val="4A3A2C"/>
                <w:sz w:val="17"/>
              </w:rPr>
              <w:t>Reports</w:t>
            </w:r>
          </w:p>
        </w:tc>
        <w:tc>
          <w:tcPr>
            <w:tcW w:type="dxa" w:w="1569"/>
          </w:tcPr>
          <w:p>
            <w:pPr>
              <w:spacing w:before="40" w:after="40" w:line="276" w:lineRule="auto"/>
            </w:pPr>
            <w:r>
              <w:rPr>
                <w:rFonts w:ascii="Jost" w:hAnsi="Jost" w:cs="Jost" w:eastAsia="Jost"/>
                <w:b w:val="0"/>
                <w:i w:val="0"/>
                <w:color w:val="4A3A2C"/>
                <w:sz w:val="17"/>
              </w:rPr>
              <w:t>On request with reason</w:t>
            </w:r>
          </w:p>
        </w:tc>
        <w:tc>
          <w:tcPr>
            <w:tcW w:type="dxa" w:w="1569"/>
          </w:tcPr>
          <w:p>
            <w:pPr>
              <w:spacing w:before="40" w:after="40" w:line="276" w:lineRule="auto"/>
            </w:pPr>
            <w:r>
              <w:rPr>
                <w:rFonts w:ascii="Jost" w:hAnsi="Jost" w:cs="Jost" w:eastAsia="Jost"/>
                <w:b w:val="0"/>
                <w:i w:val="0"/>
                <w:color w:val="4A3A2C"/>
                <w:sz w:val="17"/>
              </w:rPr>
              <w:t>No</w:t>
            </w:r>
          </w:p>
        </w:tc>
        <w:tc>
          <w:tcPr>
            <w:tcW w:type="dxa" w:w="1569"/>
          </w:tcPr>
          <w:p>
            <w:pPr>
              <w:spacing w:before="40" w:after="40" w:line="276" w:lineRule="auto"/>
            </w:pPr>
            <w:r>
              <w:rPr>
                <w:rFonts w:ascii="Jost" w:hAnsi="Jost" w:cs="Jost" w:eastAsia="Jost"/>
                <w:b w:val="0"/>
                <w:i w:val="0"/>
                <w:color w:val="4A3A2C"/>
                <w:sz w:val="17"/>
              </w:rPr>
              <w:t>Yes</w:t>
            </w:r>
          </w:p>
        </w:tc>
        <w:tc>
          <w:tcPr>
            <w:tcW w:type="dxa" w:w="1569"/>
          </w:tcPr>
          <w:p>
            <w:pPr>
              <w:spacing w:before="40" w:after="40" w:line="276" w:lineRule="auto"/>
            </w:pPr>
            <w:r>
              <w:rPr>
                <w:rFonts w:ascii="Jost" w:hAnsi="Jost" w:cs="Jost" w:eastAsia="Jost"/>
                <w:b w:val="0"/>
                <w:i w:val="0"/>
                <w:color w:val="4A3A2C"/>
                <w:sz w:val="17"/>
              </w:rPr>
              <w:t>On request</w:t>
            </w:r>
          </w:p>
        </w:tc>
      </w:tr>
    </w:tbl>
    <w:p>
      <w:pPr>
        <w:spacing w:before="0" w:after="80" w:line="240" w:lineRule="auto"/>
      </w:pPr>
    </w:p>
    <w:p>
      <w:pPr>
        <w:pStyle w:val="ListBullet"/>
        <w:spacing w:before="0" w:after="60" w:line="300" w:lineRule="auto"/>
      </w:pPr>
      <w:r>
        <w:rPr>
          <w:rFonts w:ascii="Jost" w:hAnsi="Jost" w:cs="Jost" w:eastAsia="Jost"/>
          <w:b w:val="0"/>
          <w:i w:val="0"/>
          <w:color w:val="4A3A2C"/>
          <w:sz w:val="20"/>
        </w:rPr>
        <w:t xml:space="preserve">Unique logins and strong passwords; multi-factor authentication on the booking system </w:t>
      </w:r>
      <w:r>
        <w:rPr>
          <w:rFonts w:ascii="Jost" w:hAnsi="Jost" w:cs="Jost" w:eastAsia="Jost"/>
          <w:b w:val="0"/>
          <w:i w:val="0"/>
          <w:color w:val="A6754C"/>
          <w:sz w:val="20"/>
        </w:rPr>
        <w:t>[Booking software provider]</w:t>
      </w:r>
      <w:r>
        <w:rPr>
          <w:rFonts w:ascii="Jost" w:hAnsi="Jost" w:cs="Jost" w:eastAsia="Jost"/>
          <w:b w:val="0"/>
          <w:i w:val="0"/>
          <w:color w:val="4A3A2C"/>
          <w:sz w:val="20"/>
        </w:rPr>
        <w:t xml:space="preserve"> and email.</w:t>
      </w:r>
    </w:p>
    <w:p>
      <w:pPr>
        <w:pStyle w:val="ListBullet"/>
        <w:spacing w:before="0" w:after="60" w:line="300" w:lineRule="auto"/>
      </w:pPr>
      <w:r>
        <w:rPr>
          <w:rFonts w:ascii="Jost" w:hAnsi="Jost" w:cs="Jost" w:eastAsia="Jost"/>
          <w:b w:val="0"/>
          <w:i w:val="0"/>
          <w:color w:val="4A3A2C"/>
          <w:sz w:val="20"/>
        </w:rPr>
        <w:t>Screens lock automatically; reception screens face away from guests.</w:t>
      </w:r>
    </w:p>
    <w:p>
      <w:pPr>
        <w:pStyle w:val="ListBullet"/>
        <w:spacing w:before="0" w:after="60" w:line="300" w:lineRule="auto"/>
      </w:pPr>
      <w:r>
        <w:rPr>
          <w:rFonts w:ascii="Jost" w:hAnsi="Jost" w:cs="Jost" w:eastAsia="Jost"/>
          <w:b w:val="0"/>
          <w:i w:val="0"/>
          <w:color w:val="4A3A2C"/>
          <w:sz w:val="20"/>
        </w:rPr>
        <w:t xml:space="preserve">Paper forms are kept in a locked cabinet and scanned into the guest record within </w:t>
      </w:r>
      <w:r>
        <w:rPr>
          <w:rFonts w:ascii="Jost" w:hAnsi="Jost" w:cs="Jost" w:eastAsia="Jost"/>
          <w:b w:val="0"/>
          <w:i w:val="0"/>
          <w:color w:val="A6754C"/>
          <w:sz w:val="20"/>
        </w:rPr>
        <w:t>[24 hours]</w:t>
      </w:r>
      <w:r>
        <w:rPr>
          <w:rFonts w:ascii="Jost" w:hAnsi="Jost" w:cs="Jost" w:eastAsia="Jost"/>
          <w:b w:val="0"/>
          <w:i w:val="0"/>
          <w:color w:val="4A3A2C"/>
          <w:sz w:val="20"/>
        </w:rPr>
        <w:t>, then shredded or archived securely.</w:t>
      </w:r>
    </w:p>
    <w:p>
      <w:pPr>
        <w:pStyle w:val="ListBullet"/>
        <w:spacing w:before="0" w:after="60" w:line="300" w:lineRule="auto"/>
      </w:pPr>
      <w:r>
        <w:rPr>
          <w:rFonts w:ascii="Jost" w:hAnsi="Jost" w:cs="Jost" w:eastAsia="Jost"/>
          <w:b w:val="0"/>
          <w:i w:val="0"/>
          <w:color w:val="4A3A2C"/>
          <w:sz w:val="20"/>
        </w:rPr>
        <w:t>Devices are encrypted. Personal phones are not used to store guest data or photos.</w:t>
      </w:r>
    </w:p>
    <w:p>
      <w:pPr>
        <w:pStyle w:val="ListBullet"/>
        <w:spacing w:before="0" w:after="60" w:line="300" w:lineRule="auto"/>
      </w:pPr>
      <w:r>
        <w:rPr>
          <w:rFonts w:ascii="Jost" w:hAnsi="Jost" w:cs="Jost" w:eastAsia="Jost"/>
          <w:b w:val="0"/>
          <w:i w:val="0"/>
          <w:color w:val="4A3A2C"/>
          <w:sz w:val="20"/>
        </w:rPr>
        <w:t>Supplier contracts include data protection terms. Elevé Health has access only to device data needed for service and support.</w:t>
      </w:r>
    </w:p>
    <w:p>
      <w:pPr>
        <w:pStyle w:val="ListBullet"/>
        <w:spacing w:before="0" w:after="60" w:line="300" w:lineRule="auto"/>
      </w:pPr>
      <w:r>
        <w:rPr>
          <w:rFonts w:ascii="Jost" w:hAnsi="Jost" w:cs="Jost" w:eastAsia="Jost"/>
          <w:b w:val="0"/>
          <w:i w:val="0"/>
          <w:color w:val="4A3A2C"/>
          <w:sz w:val="20"/>
        </w:rPr>
        <w:t>Access rights are removed on the day a team member leaves.</w:t>
      </w:r>
    </w:p>
    <w:p>
      <w:pPr>
        <w:keepNext/>
        <w:spacing w:before="280" w:after="100" w:line="264" w:lineRule="auto"/>
      </w:pPr>
      <w:r>
        <w:rPr>
          <w:rFonts w:ascii="Marcellus" w:hAnsi="Marcellus" w:cs="Marcellus" w:eastAsia="Marcellus"/>
          <w:color w:val="221913"/>
          <w:sz w:val="28"/>
        </w:rPr>
        <w:t>8. Staff confidentiality</w:t>
      </w:r>
    </w:p>
    <w:p>
      <w:pPr>
        <w:spacing w:before="0" w:after="120" w:line="312" w:lineRule="auto"/>
      </w:pPr>
      <w:r>
        <w:rPr>
          <w:rFonts w:ascii="Jost" w:hAnsi="Jost" w:cs="Jost" w:eastAsia="Jost"/>
          <w:b w:val="0"/>
          <w:i w:val="0"/>
          <w:color w:val="4A3A2C"/>
          <w:sz w:val="20"/>
        </w:rPr>
        <w:t>Every team member signs a confidentiality agreement before starting. In practice:</w:t>
      </w:r>
    </w:p>
    <w:p>
      <w:pPr>
        <w:pStyle w:val="ListBullet"/>
        <w:spacing w:before="0" w:after="60" w:line="300" w:lineRule="auto"/>
      </w:pPr>
      <w:r>
        <w:rPr>
          <w:rFonts w:ascii="Jost" w:hAnsi="Jost" w:cs="Jost" w:eastAsia="Jost"/>
          <w:b w:val="0"/>
          <w:i w:val="0"/>
          <w:color w:val="4A3A2C"/>
          <w:sz w:val="20"/>
        </w:rPr>
        <w:t>Never discuss a guest's health, visit or conversation outside the studio, on social media, or with other guests.</w:t>
      </w:r>
    </w:p>
    <w:p>
      <w:pPr>
        <w:pStyle w:val="ListBullet"/>
        <w:spacing w:before="0" w:after="60" w:line="300" w:lineRule="auto"/>
      </w:pPr>
      <w:r>
        <w:rPr>
          <w:rFonts w:ascii="Jost" w:hAnsi="Jost" w:cs="Jost" w:eastAsia="Jost"/>
          <w:b w:val="0"/>
          <w:i w:val="0"/>
          <w:color w:val="4A3A2C"/>
          <w:sz w:val="20"/>
        </w:rPr>
        <w:t>Never confirm whether someone is a guest. Many guests are well known; discretion is part of our service.</w:t>
      </w:r>
    </w:p>
    <w:p>
      <w:pPr>
        <w:pStyle w:val="ListBullet"/>
        <w:spacing w:before="0" w:after="60" w:line="300" w:lineRule="auto"/>
      </w:pPr>
      <w:r>
        <w:rPr>
          <w:rFonts w:ascii="Jost" w:hAnsi="Jost" w:cs="Jost" w:eastAsia="Jost"/>
          <w:b w:val="0"/>
          <w:i w:val="0"/>
          <w:color w:val="4A3A2C"/>
          <w:sz w:val="20"/>
        </w:rPr>
        <w:t>Do not photograph or film guests. Social content with a guest requires their written consent.</w:t>
      </w:r>
    </w:p>
    <w:p>
      <w:pPr>
        <w:pStyle w:val="ListBullet"/>
        <w:spacing w:before="0" w:after="60" w:line="300" w:lineRule="auto"/>
      </w:pPr>
      <w:r>
        <w:rPr>
          <w:rFonts w:ascii="Jost" w:hAnsi="Jost" w:cs="Jost" w:eastAsia="Jost"/>
          <w:b w:val="0"/>
          <w:i w:val="0"/>
          <w:color w:val="4A3A2C"/>
          <w:sz w:val="20"/>
        </w:rPr>
        <w:t>Speak quietly about guest details in shared areas. Use names only, not conditions, at reception.</w:t>
      </w:r>
    </w:p>
    <w:p>
      <w:pPr>
        <w:pStyle w:val="ListBullet"/>
        <w:spacing w:before="0" w:after="60" w:line="300" w:lineRule="auto"/>
      </w:pPr>
      <w:r>
        <w:rPr>
          <w:rFonts w:ascii="Jost" w:hAnsi="Jost" w:cs="Jost" w:eastAsia="Jost"/>
          <w:b w:val="0"/>
          <w:i w:val="0"/>
          <w:color w:val="4A3A2C"/>
          <w:sz w:val="20"/>
        </w:rPr>
        <w:t>Share with colleagues only what they need to serve the guest safely.</w:t>
      </w:r>
    </w:p>
    <w:p>
      <w:pPr>
        <w:pStyle w:val="ListBullet"/>
        <w:spacing w:before="0" w:after="60" w:line="300" w:lineRule="auto"/>
      </w:pPr>
      <w:r>
        <w:rPr>
          <w:rFonts w:ascii="Jost" w:hAnsi="Jost" w:cs="Jost" w:eastAsia="Jost"/>
          <w:b w:val="0"/>
          <w:i w:val="0"/>
          <w:color w:val="4A3A2C"/>
          <w:sz w:val="20"/>
        </w:rPr>
        <w:t>Breach of confidentiality is a disciplinary matter under our HR policies and UAE Federal Decree-Law No. 33 of 2021.</w:t>
      </w:r>
    </w:p>
    <w:p>
      <w:pPr>
        <w:keepNext/>
        <w:spacing w:before="280" w:after="100" w:line="264" w:lineRule="auto"/>
      </w:pPr>
      <w:r>
        <w:rPr>
          <w:rFonts w:ascii="Marcellus" w:hAnsi="Marcellus" w:cs="Marcellus" w:eastAsia="Marcellus"/>
          <w:color w:val="221913"/>
          <w:sz w:val="28"/>
        </w:rPr>
        <w:t>9. Data subject rights</w:t>
      </w:r>
    </w:p>
    <w:p>
      <w:pPr>
        <w:spacing w:before="0" w:after="120" w:line="312" w:lineRule="auto"/>
      </w:pPr>
      <w:r>
        <w:rPr>
          <w:rFonts w:ascii="Jost" w:hAnsi="Jost" w:cs="Jost" w:eastAsia="Jost"/>
          <w:b w:val="0"/>
          <w:i w:val="0"/>
          <w:color w:val="4A3A2C"/>
          <w:sz w:val="20"/>
        </w:rPr>
        <w:t>Under the PDPL, guests may ask to:</w:t>
      </w:r>
    </w:p>
    <w:p>
      <w:pPr>
        <w:pStyle w:val="ListBullet"/>
        <w:spacing w:before="0" w:after="60" w:line="300" w:lineRule="auto"/>
      </w:pPr>
      <w:r>
        <w:rPr>
          <w:rFonts w:ascii="Jost" w:hAnsi="Jost" w:cs="Jost" w:eastAsia="Jost"/>
          <w:b w:val="0"/>
          <w:i w:val="0"/>
          <w:color w:val="4A3A2C"/>
          <w:sz w:val="20"/>
        </w:rPr>
        <w:t>be informed how their data is used</w:t>
      </w:r>
    </w:p>
    <w:p>
      <w:pPr>
        <w:pStyle w:val="ListBullet"/>
        <w:spacing w:before="0" w:after="60" w:line="300" w:lineRule="auto"/>
      </w:pPr>
      <w:r>
        <w:rPr>
          <w:rFonts w:ascii="Jost" w:hAnsi="Jost" w:cs="Jost" w:eastAsia="Jost"/>
          <w:b w:val="0"/>
          <w:i w:val="0"/>
          <w:color w:val="4A3A2C"/>
          <w:sz w:val="20"/>
        </w:rPr>
        <w:t>access a copy of their data</w:t>
      </w:r>
    </w:p>
    <w:p>
      <w:pPr>
        <w:pStyle w:val="ListBullet"/>
        <w:spacing w:before="0" w:after="60" w:line="300" w:lineRule="auto"/>
      </w:pPr>
      <w:r>
        <w:rPr>
          <w:rFonts w:ascii="Jost" w:hAnsi="Jost" w:cs="Jost" w:eastAsia="Jost"/>
          <w:b w:val="0"/>
          <w:i w:val="0"/>
          <w:color w:val="4A3A2C"/>
          <w:sz w:val="20"/>
        </w:rPr>
        <w:t>correct inaccurate data</w:t>
      </w:r>
    </w:p>
    <w:p>
      <w:pPr>
        <w:pStyle w:val="ListBullet"/>
        <w:spacing w:before="0" w:after="60" w:line="300" w:lineRule="auto"/>
      </w:pPr>
      <w:r>
        <w:rPr>
          <w:rFonts w:ascii="Jost" w:hAnsi="Jost" w:cs="Jost" w:eastAsia="Jost"/>
          <w:b w:val="0"/>
          <w:i w:val="0"/>
          <w:color w:val="4A3A2C"/>
          <w:sz w:val="20"/>
        </w:rPr>
        <w:t>delete their data (subject to legal retention, e.g. DHA clinical records)</w:t>
      </w:r>
    </w:p>
    <w:p>
      <w:pPr>
        <w:pStyle w:val="ListBullet"/>
        <w:spacing w:before="0" w:after="60" w:line="300" w:lineRule="auto"/>
      </w:pPr>
      <w:r>
        <w:rPr>
          <w:rFonts w:ascii="Jost" w:hAnsi="Jost" w:cs="Jost" w:eastAsia="Jost"/>
          <w:b w:val="0"/>
          <w:i w:val="0"/>
          <w:color w:val="4A3A2C"/>
          <w:sz w:val="20"/>
        </w:rPr>
        <w:t>restrict or object to processing</w:t>
      </w:r>
    </w:p>
    <w:p>
      <w:pPr>
        <w:pStyle w:val="ListBullet"/>
        <w:spacing w:before="0" w:after="60" w:line="300" w:lineRule="auto"/>
      </w:pPr>
      <w:r>
        <w:rPr>
          <w:rFonts w:ascii="Jost" w:hAnsi="Jost" w:cs="Jost" w:eastAsia="Jost"/>
          <w:b w:val="0"/>
          <w:i w:val="0"/>
          <w:color w:val="4A3A2C"/>
          <w:sz w:val="20"/>
        </w:rPr>
        <w:t>move their data to another provider (portability)</w:t>
      </w:r>
    </w:p>
    <w:p>
      <w:pPr>
        <w:pStyle w:val="ListBullet"/>
        <w:spacing w:before="0" w:after="60" w:line="300" w:lineRule="auto"/>
      </w:pPr>
      <w:r>
        <w:rPr>
          <w:rFonts w:ascii="Jost" w:hAnsi="Jost" w:cs="Jost" w:eastAsia="Jost"/>
          <w:b w:val="0"/>
          <w:i w:val="0"/>
          <w:color w:val="4A3A2C"/>
          <w:sz w:val="20"/>
        </w:rPr>
        <w:t>withdraw consent at any time</w:t>
      </w:r>
    </w:p>
    <w:p>
      <w:pPr>
        <w:pStyle w:val="ListBullet"/>
        <w:spacing w:before="0" w:after="60" w:line="300" w:lineRule="auto"/>
      </w:pPr>
      <w:r>
        <w:rPr>
          <w:rFonts w:ascii="Jost" w:hAnsi="Jost" w:cs="Jost" w:eastAsia="Jost"/>
          <w:b w:val="0"/>
          <w:i w:val="0"/>
          <w:color w:val="4A3A2C"/>
          <w:sz w:val="20"/>
        </w:rPr>
        <w:t>object to direct marketing</w:t>
      </w:r>
    </w:p>
    <w:p>
      <w:pPr>
        <w:spacing w:before="0" w:after="120" w:line="312" w:lineRule="auto"/>
      </w:pPr>
      <w:r>
        <w:rPr>
          <w:rFonts w:ascii="Jost" w:hAnsi="Jost" w:cs="Jost" w:eastAsia="Jost"/>
          <w:b w:val="0"/>
          <w:i w:val="0"/>
          <w:color w:val="4A3A2C"/>
          <w:sz w:val="20"/>
        </w:rPr>
        <w:t>How we respond:</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 xml:space="preserve">Requests come by </w:t>
      </w:r>
      <w:r>
        <w:rPr>
          <w:rFonts w:ascii="Jost" w:hAnsi="Jost" w:cs="Jost" w:eastAsia="Jost"/>
          <w:b w:val="0"/>
          <w:i w:val="0"/>
          <w:color w:val="A6754C"/>
          <w:sz w:val="20"/>
        </w:rPr>
        <w:t>[Email]</w:t>
      </w:r>
      <w:r>
        <w:rPr>
          <w:rFonts w:ascii="Jost" w:hAnsi="Jost" w:cs="Jost" w:eastAsia="Jost"/>
          <w:b w:val="0"/>
          <w:i w:val="0"/>
          <w:color w:val="4A3A2C"/>
          <w:sz w:val="20"/>
        </w:rPr>
        <w:t xml:space="preserve">, in person or by </w:t>
      </w:r>
      <w:r>
        <w:rPr>
          <w:rFonts w:ascii="Jost" w:hAnsi="Jost" w:cs="Jost" w:eastAsia="Jost"/>
          <w:b w:val="0"/>
          <w:i w:val="0"/>
          <w:color w:val="A6754C"/>
          <w:sz w:val="20"/>
        </w:rPr>
        <w:t>[WhatsApp]</w:t>
      </w:r>
      <w:r>
        <w:rPr>
          <w:rFonts w:ascii="Jost" w:hAnsi="Jost" w:cs="Jost" w:eastAsia="Jost"/>
          <w:b w:val="0"/>
          <w:i w:val="0"/>
          <w:color w:val="4A3A2C"/>
          <w:sz w:val="20"/>
        </w:rPr>
        <w:t>. Any team member who receives one passes it to the Data Protection Lead the same day.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We verify the person's identity.</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 xml:space="preserve">We respond within </w:t>
      </w:r>
      <w:r>
        <w:rPr>
          <w:rFonts w:ascii="Jost" w:hAnsi="Jost" w:cs="Jost" w:eastAsia="Jost"/>
          <w:b w:val="0"/>
          <w:i w:val="0"/>
          <w:color w:val="A6754C"/>
          <w:sz w:val="20"/>
        </w:rPr>
        <w:t>[30]</w:t>
      </w:r>
      <w:r>
        <w:rPr>
          <w:rFonts w:ascii="Jost" w:hAnsi="Jost" w:cs="Jost" w:eastAsia="Jost"/>
          <w:b w:val="0"/>
          <w:i w:val="0"/>
          <w:color w:val="4A3A2C"/>
          <w:sz w:val="20"/>
        </w:rPr>
        <w:t xml:space="preserve"> days or the timeframe set by the PDPL regulations.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We log each request: date, type, action taken, response date.</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No fee, unless the request is manifestly excessive.</w:t>
      </w:r>
    </w:p>
    <w:p>
      <w:pPr>
        <w:keepNext/>
        <w:spacing w:before="280" w:after="100" w:line="264" w:lineRule="auto"/>
      </w:pPr>
      <w:r>
        <w:rPr>
          <w:rFonts w:ascii="Marcellus" w:hAnsi="Marcellus" w:cs="Marcellus" w:eastAsia="Marcellus"/>
          <w:color w:val="221913"/>
          <w:sz w:val="28"/>
        </w:rPr>
        <w:t>10. Data breach response</w:t>
      </w:r>
    </w:p>
    <w:p>
      <w:pPr>
        <w:spacing w:before="0" w:after="120" w:line="312" w:lineRule="auto"/>
      </w:pPr>
      <w:r>
        <w:rPr>
          <w:rFonts w:ascii="Jost" w:hAnsi="Jost" w:cs="Jost" w:eastAsia="Jost"/>
          <w:b w:val="0"/>
          <w:i w:val="0"/>
          <w:color w:val="4A3A2C"/>
          <w:sz w:val="20"/>
        </w:rPr>
        <w:t>A breach is any loss, theft, unauthorised access or disclosure of personal data, for example a misdirected email, a lost tablet, or intake forms left at reception.</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Contain:</w:t>
      </w:r>
      <w:r>
        <w:rPr>
          <w:rFonts w:ascii="Jost" w:hAnsi="Jost" w:cs="Jost" w:eastAsia="Jost"/>
          <w:b w:val="0"/>
          <w:i w:val="0"/>
          <w:color w:val="4A3A2C"/>
          <w:sz w:val="20"/>
        </w:rPr>
        <w:t xml:space="preserve"> the person who finds it reports it at once to the Duty Manager and Data Protection Lead. Stop the cause (recall the email, change passwords, lock the account).</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Assess:</w:t>
      </w:r>
      <w:r>
        <w:rPr>
          <w:rFonts w:ascii="Jost" w:hAnsi="Jost" w:cs="Jost" w:eastAsia="Jost"/>
          <w:b w:val="0"/>
          <w:i w:val="0"/>
          <w:color w:val="4A3A2C"/>
          <w:sz w:val="20"/>
        </w:rPr>
        <w:t xml:space="preserve"> within </w:t>
      </w:r>
      <w:r>
        <w:rPr>
          <w:rFonts w:ascii="Jost" w:hAnsi="Jost" w:cs="Jost" w:eastAsia="Jost"/>
          <w:b w:val="0"/>
          <w:i w:val="0"/>
          <w:color w:val="A6754C"/>
          <w:sz w:val="20"/>
        </w:rPr>
        <w:t>[24 hours]</w:t>
      </w:r>
      <w:r>
        <w:rPr>
          <w:rFonts w:ascii="Jost" w:hAnsi="Jost" w:cs="Jost" w:eastAsia="Jost"/>
          <w:b w:val="0"/>
          <w:i w:val="0"/>
          <w:color w:val="4A3A2C"/>
          <w:sz w:val="20"/>
        </w:rPr>
        <w:t>, the Data Protection Lead assesses what data, how many guests, and the risk to them. Health data breaches are treated as high risk.</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Notify:</w:t>
      </w:r>
      <w:r>
        <w:rPr>
          <w:rFonts w:ascii="Jost" w:hAnsi="Jost" w:cs="Jost" w:eastAsia="Jost"/>
          <w:b w:val="0"/>
          <w:i w:val="0"/>
          <w:color w:val="4A3A2C"/>
          <w:sz w:val="20"/>
        </w:rPr>
        <w:t xml:space="preserve"> where required by the PDPL, notify the UAE Data Office within the required timeframe, and notify affected guests without delay where the breach may harm them. Escalate to the General Manager, Founder &amp; CEO and CEO. Clinical data breaches are also reported to the Clinical Lead and, where required, DHA.</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Record:</w:t>
      </w:r>
      <w:r>
        <w:rPr>
          <w:rFonts w:ascii="Jost" w:hAnsi="Jost" w:cs="Jost" w:eastAsia="Jost"/>
          <w:b w:val="0"/>
          <w:i w:val="0"/>
          <w:color w:val="4A3A2C"/>
          <w:sz w:val="20"/>
        </w:rPr>
        <w:t xml:space="preserve"> log every breach, even minor ones, with facts, effects and actions.</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i w:val="0"/>
          <w:color w:val="4A3A2C"/>
          <w:sz w:val="20"/>
        </w:rPr>
        <w:t>Learn:</w:t>
      </w:r>
      <w:r>
        <w:rPr>
          <w:rFonts w:ascii="Jost" w:hAnsi="Jost" w:cs="Jost" w:eastAsia="Jost"/>
          <w:b w:val="0"/>
          <w:i w:val="0"/>
          <w:color w:val="4A3A2C"/>
          <w:sz w:val="20"/>
        </w:rPr>
        <w:t xml:space="preserve"> review the cause and update controls and training.</w:t>
      </w:r>
    </w:p>
    <w:p>
      <w:pPr>
        <w:keepNext/>
        <w:spacing w:before="280" w:after="100" w:line="264" w:lineRule="auto"/>
      </w:pPr>
      <w:r>
        <w:rPr>
          <w:rFonts w:ascii="Marcellus" w:hAnsi="Marcellus" w:cs="Marcellus" w:eastAsia="Marcellus"/>
          <w:color w:val="221913"/>
          <w:sz w:val="28"/>
        </w:rPr>
        <w:t>11. International transfers</w:t>
      </w:r>
    </w:p>
    <w:p>
      <w:pPr>
        <w:spacing w:before="0" w:after="120" w:line="312" w:lineRule="auto"/>
      </w:pPr>
      <w:r>
        <w:rPr>
          <w:rFonts w:ascii="Jost" w:hAnsi="Jost" w:cs="Jost" w:eastAsia="Jost"/>
          <w:b w:val="0"/>
          <w:i w:val="0"/>
          <w:color w:val="4A3A2C"/>
          <w:sz w:val="20"/>
        </w:rPr>
        <w:t>Personal data may leave the UAE in these cases:</w:t>
      </w:r>
    </w:p>
    <w:p>
      <w:pPr>
        <w:pStyle w:val="ListBullet"/>
        <w:spacing w:before="0" w:after="60" w:line="300" w:lineRule="auto"/>
      </w:pPr>
      <w:r>
        <w:rPr>
          <w:rFonts w:ascii="Jost" w:hAnsi="Jost" w:cs="Jost" w:eastAsia="Jost"/>
          <w:b/>
          <w:i w:val="0"/>
          <w:color w:val="4A3A2C"/>
          <w:sz w:val="20"/>
        </w:rPr>
        <w:t>US location:</w:t>
      </w:r>
      <w:r>
        <w:rPr>
          <w:rFonts w:ascii="Jost" w:hAnsi="Jost" w:cs="Jost" w:eastAsia="Jost"/>
          <w:b w:val="0"/>
          <w:i w:val="0"/>
          <w:color w:val="4A3A2C"/>
          <w:sz w:val="20"/>
        </w:rPr>
        <w:t xml:space="preserve"> where a member uses the Santa Ana location, their membership and relevant booking data are shared with the US team. Health intake data is shared only with the guest's consent.</w:t>
      </w:r>
    </w:p>
    <w:p>
      <w:pPr>
        <w:pStyle w:val="ListBullet"/>
        <w:spacing w:before="0" w:after="60" w:line="300" w:lineRule="auto"/>
      </w:pPr>
      <w:r>
        <w:rPr>
          <w:rFonts w:ascii="Jost" w:hAnsi="Jost" w:cs="Jost" w:eastAsia="Jost"/>
          <w:b/>
          <w:i w:val="0"/>
          <w:color w:val="4A3A2C"/>
          <w:sz w:val="20"/>
        </w:rPr>
        <w:t>Booking software provider:</w:t>
      </w:r>
      <w:r>
        <w:rPr>
          <w:rFonts w:ascii="Jost" w:hAnsi="Jost" w:cs="Jost" w:eastAsia="Jost"/>
          <w:b w:val="0"/>
          <w:i w:val="0"/>
          <w:color w:val="4A3A2C"/>
          <w:sz w:val="20"/>
        </w:rPr>
        <w:t xml:space="preserve"> </w:t>
      </w:r>
      <w:r>
        <w:rPr>
          <w:rFonts w:ascii="Jost" w:hAnsi="Jost" w:cs="Jost" w:eastAsia="Jost"/>
          <w:b w:val="0"/>
          <w:i w:val="0"/>
          <w:color w:val="A6754C"/>
          <w:sz w:val="20"/>
        </w:rPr>
        <w:t>[Booking software provider]</w:t>
      </w:r>
      <w:r>
        <w:rPr>
          <w:rFonts w:ascii="Jost" w:hAnsi="Jost" w:cs="Jost" w:eastAsia="Jost"/>
          <w:b w:val="0"/>
          <w:i w:val="0"/>
          <w:color w:val="4A3A2C"/>
          <w:sz w:val="20"/>
        </w:rPr>
        <w:t xml:space="preserve"> may host data on servers in </w:t>
      </w:r>
      <w:r>
        <w:rPr>
          <w:rFonts w:ascii="Jost" w:hAnsi="Jost" w:cs="Jost" w:eastAsia="Jost"/>
          <w:b w:val="0"/>
          <w:i w:val="0"/>
          <w:color w:val="A6754C"/>
          <w:sz w:val="20"/>
        </w:rPr>
        <w:t>[Country / region]</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Payment, email and cloud providers:</w:t>
      </w:r>
      <w:r>
        <w:rPr>
          <w:rFonts w:ascii="Jost" w:hAnsi="Jost" w:cs="Jost" w:eastAsia="Jost"/>
          <w:b w:val="0"/>
          <w:i w:val="0"/>
          <w:color w:val="4A3A2C"/>
          <w:sz w:val="20"/>
        </w:rPr>
        <w:t xml:space="preserve"> </w:t>
      </w:r>
      <w:r>
        <w:rPr>
          <w:rFonts w:ascii="Jost" w:hAnsi="Jost" w:cs="Jost" w:eastAsia="Jost"/>
          <w:b w:val="0"/>
          <w:i w:val="0"/>
          <w:color w:val="A6754C"/>
          <w:sz w:val="20"/>
        </w:rPr>
        <w:t>[Providers and hosting locations]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Elevé Health:</w:t>
      </w:r>
      <w:r>
        <w:rPr>
          <w:rFonts w:ascii="Jost" w:hAnsi="Jost" w:cs="Jost" w:eastAsia="Jost"/>
          <w:b w:val="0"/>
          <w:i w:val="0"/>
          <w:color w:val="4A3A2C"/>
          <w:sz w:val="20"/>
        </w:rPr>
        <w:t xml:space="preserve"> device service data may be accessed by Elevé technical support, including from the US.</w:t>
      </w:r>
    </w:p>
    <w:p>
      <w:pPr>
        <w:spacing w:before="0" w:after="120" w:line="312" w:lineRule="auto"/>
      </w:pPr>
      <w:r>
        <w:rPr>
          <w:rFonts w:ascii="Jost" w:hAnsi="Jost" w:cs="Jost" w:eastAsia="Jost"/>
          <w:b w:val="0"/>
          <w:i w:val="0"/>
          <w:color w:val="4A3A2C"/>
          <w:sz w:val="20"/>
        </w:rPr>
        <w:t>Transfers happen only where the PDPL allows: to a country with adequate protection, under contractual safeguards, or with the guest's explicit consent. We keep a register of transfers and suppliers.</w:t>
      </w:r>
    </w:p>
    <w:p>
      <w:pPr>
        <w:keepNext/>
        <w:spacing w:before="280" w:after="100" w:line="264" w:lineRule="auto"/>
      </w:pPr>
      <w:r>
        <w:rPr>
          <w:rFonts w:ascii="Marcellus" w:hAnsi="Marcellus" w:cs="Marcellus" w:eastAsia="Marcellus"/>
          <w:color w:val="221913"/>
          <w:sz w:val="28"/>
        </w:rPr>
        <w:t>12. CCTV</w:t>
      </w:r>
    </w:p>
    <w:p>
      <w:pPr>
        <w:pStyle w:val="ListBullet"/>
        <w:spacing w:before="0" w:after="60" w:line="300" w:lineRule="auto"/>
      </w:pPr>
      <w:r>
        <w:rPr>
          <w:rFonts w:ascii="Jost" w:hAnsi="Jost" w:cs="Jost" w:eastAsia="Jost"/>
          <w:b w:val="0"/>
          <w:i w:val="0"/>
          <w:color w:val="4A3A2C"/>
          <w:sz w:val="20"/>
        </w:rPr>
        <w:t>Signs at entrances explain that CCTV is in use, why, and who to contact.</w:t>
      </w:r>
    </w:p>
    <w:p>
      <w:pPr>
        <w:pStyle w:val="ListBullet"/>
        <w:spacing w:before="0" w:after="60" w:line="300" w:lineRule="auto"/>
      </w:pPr>
      <w:r>
        <w:rPr>
          <w:rFonts w:ascii="Jost" w:hAnsi="Jost" w:cs="Jost" w:eastAsia="Jost"/>
          <w:b w:val="0"/>
          <w:i w:val="0"/>
          <w:color w:val="4A3A2C"/>
          <w:sz w:val="20"/>
        </w:rPr>
        <w:t>Cameras cover reception, entrances, corridors and back-of-house only.</w:t>
      </w:r>
    </w:p>
    <w:p>
      <w:pPr>
        <w:pStyle w:val="ListBullet"/>
        <w:spacing w:before="0" w:after="60" w:line="300" w:lineRule="auto"/>
      </w:pPr>
      <w:r>
        <w:rPr>
          <w:rFonts w:ascii="Jost" w:hAnsi="Jost" w:cs="Jost" w:eastAsia="Jost"/>
          <w:b w:val="0"/>
          <w:i w:val="0"/>
          <w:color w:val="4A3A2C"/>
          <w:sz w:val="20"/>
        </w:rPr>
        <w:t>Footage is viewed only by the General Manager or Duty Manager for a stated reason, and shared only with police or authorities on lawful request.</w:t>
      </w:r>
    </w:p>
    <w:p>
      <w:pPr>
        <w:pStyle w:val="ListBullet"/>
        <w:spacing w:before="0" w:after="60" w:line="300" w:lineRule="auto"/>
      </w:pPr>
      <w:r>
        <w:rPr>
          <w:rFonts w:ascii="Jost" w:hAnsi="Jost" w:cs="Jost" w:eastAsia="Jost"/>
          <w:b w:val="0"/>
          <w:i w:val="0"/>
          <w:color w:val="4A3A2C"/>
          <w:sz w:val="20"/>
        </w:rPr>
        <w:t xml:space="preserve">Retention: </w:t>
      </w:r>
      <w:r>
        <w:rPr>
          <w:rFonts w:ascii="Jost" w:hAnsi="Jost" w:cs="Jost" w:eastAsia="Jost"/>
          <w:b w:val="0"/>
          <w:i w:val="0"/>
          <w:color w:val="A6754C"/>
          <w:sz w:val="20"/>
        </w:rPr>
        <w:t>[___ days]</w:t>
      </w:r>
      <w:r>
        <w:rPr>
          <w:rFonts w:ascii="Jost" w:hAnsi="Jost" w:cs="Jost" w:eastAsia="Jost"/>
          <w:b w:val="0"/>
          <w:i w:val="0"/>
          <w:color w:val="4A3A2C"/>
          <w:sz w:val="20"/>
        </w:rPr>
        <w:t>, then automatic overwrite.</w:t>
      </w:r>
    </w:p>
    <w:p>
      <w:pPr>
        <w:keepNext/>
        <w:spacing w:before="280" w:after="100" w:line="264" w:lineRule="auto"/>
      </w:pPr>
      <w:r>
        <w:rPr>
          <w:rFonts w:ascii="Marcellus" w:hAnsi="Marcellus" w:cs="Marcellus" w:eastAsia="Marcellus"/>
          <w:color w:val="221913"/>
          <w:sz w:val="28"/>
        </w:rPr>
        <w:t>13. Marketing</w:t>
      </w:r>
    </w:p>
    <w:p>
      <w:pPr>
        <w:pStyle w:val="ListBullet"/>
        <w:spacing w:before="0" w:after="60" w:line="300" w:lineRule="auto"/>
      </w:pPr>
      <w:r>
        <w:rPr>
          <w:rFonts w:ascii="Jost" w:hAnsi="Jost" w:cs="Jost" w:eastAsia="Jost"/>
          <w:b w:val="0"/>
          <w:i w:val="0"/>
          <w:color w:val="4A3A2C"/>
          <w:sz w:val="20"/>
        </w:rPr>
        <w:t>We send marketing (newsletters, launch event invitations, membership news, founding member updates) only to people who have opted in.</w:t>
      </w:r>
    </w:p>
    <w:p>
      <w:pPr>
        <w:pStyle w:val="ListBullet"/>
        <w:spacing w:before="0" w:after="60" w:line="300" w:lineRule="auto"/>
      </w:pPr>
      <w:r>
        <w:rPr>
          <w:rFonts w:ascii="Jost" w:hAnsi="Jost" w:cs="Jost" w:eastAsia="Jost"/>
          <w:b w:val="0"/>
          <w:i w:val="0"/>
          <w:color w:val="4A3A2C"/>
          <w:sz w:val="20"/>
        </w:rPr>
        <w:t>Opt-in is separate for each channel: email, WhatsApp, SMS.</w:t>
      </w:r>
    </w:p>
    <w:p>
      <w:pPr>
        <w:pStyle w:val="ListBullet"/>
        <w:spacing w:before="0" w:after="60" w:line="300" w:lineRule="auto"/>
      </w:pPr>
      <w:r>
        <w:rPr>
          <w:rFonts w:ascii="Jost" w:hAnsi="Jost" w:cs="Jost" w:eastAsia="Jost"/>
          <w:b w:val="0"/>
          <w:i w:val="0"/>
          <w:color w:val="4A3A2C"/>
          <w:sz w:val="20"/>
        </w:rPr>
        <w:t xml:space="preserve">Every message includes an easy way to opt out. Opt-outs are actioned within </w:t>
      </w:r>
      <w:r>
        <w:rPr>
          <w:rFonts w:ascii="Jost" w:hAnsi="Jost" w:cs="Jost" w:eastAsia="Jost"/>
          <w:b w:val="0"/>
          <w:i w:val="0"/>
          <w:color w:val="A6754C"/>
          <w:sz w:val="20"/>
        </w:rPr>
        <w:t>[___ days]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Booking confirmations, calendar invites and service messages are not marketing.</w:t>
      </w:r>
    </w:p>
    <w:p>
      <w:pPr>
        <w:pStyle w:val="ListBullet"/>
        <w:spacing w:before="0" w:after="60" w:line="300" w:lineRule="auto"/>
      </w:pPr>
      <w:r>
        <w:rPr>
          <w:rFonts w:ascii="Jost" w:hAnsi="Jost" w:cs="Jost" w:eastAsia="Jost"/>
          <w:b w:val="0"/>
          <w:i w:val="0"/>
          <w:color w:val="4A3A2C"/>
          <w:sz w:val="20"/>
        </w:rPr>
        <w:t>We never sell or rent guest data.</w:t>
      </w:r>
    </w:p>
    <w:p>
      <w:pPr>
        <w:pStyle w:val="ListBullet"/>
        <w:spacing w:before="0" w:after="60" w:line="300" w:lineRule="auto"/>
      </w:pPr>
      <w:r>
        <w:rPr>
          <w:rFonts w:ascii="Jost" w:hAnsi="Jost" w:cs="Jost" w:eastAsia="Jost"/>
          <w:b w:val="0"/>
          <w:i w:val="0"/>
          <w:color w:val="4A3A2C"/>
          <w:sz w:val="20"/>
        </w:rPr>
        <w:t>Testimonials and photos of guests require separate written consent.</w:t>
      </w:r>
    </w:p>
    <w:p>
      <w:pPr>
        <w:keepNext/>
        <w:spacing w:before="280" w:after="100" w:line="264" w:lineRule="auto"/>
      </w:pPr>
      <w:r>
        <w:rPr>
          <w:rFonts w:ascii="Marcellus" w:hAnsi="Marcellus" w:cs="Marcellus" w:eastAsia="Marcellus"/>
          <w:color w:val="221913"/>
          <w:sz w:val="28"/>
        </w:rPr>
        <w:t>14. Records and review</w:t>
      </w:r>
    </w:p>
    <w:p>
      <w:pPr>
        <w:spacing w:before="0" w:after="120" w:line="312" w:lineRule="auto"/>
      </w:pPr>
      <w:r>
        <w:rPr>
          <w:rFonts w:ascii="Jost" w:hAnsi="Jost" w:cs="Jost" w:eastAsia="Jost"/>
          <w:b w:val="0"/>
          <w:i w:val="0"/>
          <w:color w:val="4A3A2C"/>
          <w:sz w:val="20"/>
        </w:rPr>
        <w:t xml:space="preserve">The Data Protection Lead keeps a record of processing activities, the supplier register, consent records, the rights request log and the breach log. This policy is reviewed every </w:t>
      </w:r>
      <w:r>
        <w:rPr>
          <w:rFonts w:ascii="Jost" w:hAnsi="Jost" w:cs="Jost" w:eastAsia="Jost"/>
          <w:b w:val="0"/>
          <w:i w:val="0"/>
          <w:color w:val="A6754C"/>
          <w:sz w:val="20"/>
        </w:rPr>
        <w:t>[12]</w:t>
      </w:r>
      <w:r>
        <w:rPr>
          <w:rFonts w:ascii="Jost" w:hAnsi="Jost" w:cs="Jost" w:eastAsia="Jost"/>
          <w:b w:val="0"/>
          <w:i w:val="0"/>
          <w:color w:val="4A3A2C"/>
          <w:sz w:val="20"/>
        </w:rPr>
        <w:t xml:space="preserve"> months and when the PDPL executive regulations or our systems change.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General Manager 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Founder &amp; CEO 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keepNext/>
        <w:spacing w:before="200" w:after="60" w:line="264" w:lineRule="auto"/>
      </w:pPr>
      <w:r>
        <w:rPr>
          <w:rFonts w:ascii="Jost" w:hAnsi="Jost" w:cs="Jost" w:eastAsia="Jost"/>
          <w:b/>
          <w:color w:val="A6754C"/>
          <w:sz w:val="17"/>
        </w:rPr>
        <w:t>STAFF ACKNOWLEDGEMENT</w:t>
      </w:r>
    </w:p>
    <w:p>
      <w:pPr>
        <w:spacing w:before="0" w:after="120" w:line="312" w:lineRule="auto"/>
      </w:pPr>
      <w:r>
        <w:rPr>
          <w:rFonts w:ascii="Jost" w:hAnsi="Jost" w:cs="Jost" w:eastAsia="Jost"/>
          <w:b w:val="0"/>
          <w:i w:val="0"/>
          <w:color w:val="4A3A2C"/>
          <w:sz w:val="20"/>
        </w:rPr>
        <w:t>I have read and understood this policy and agree to keep guest information confidential during and after my employment.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AUR-SAF-03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&amp; Client Confidentiality Policy</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