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Supplier and Vendor Register</w:t>
      </w:r>
    </w:p>
    <w:p>
      <w:pPr>
        <w:spacing w:before="0" w:after="280" w:line="264" w:lineRule="auto"/>
        <w:pBdr>
          <w:bottom w:val="single" w:sz="6" w:space="8" w:color="A6754C"/>
        </w:pBdr>
      </w:pPr>
      <w:r>
        <w:rPr>
          <w:rFonts w:ascii="Jost" w:hAnsi="Jost" w:cs="Jost" w:eastAsia="Jost"/>
          <w:b w:val="0"/>
          <w:i w:val="0"/>
          <w:color w:val="7A6753"/>
          <w:sz w:val="16"/>
        </w:rPr>
        <w:t xml:space="preserve">Document No. AUR-FIN-08 · Version 0.1 (Draft) · Owner: General Manager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1. Purpose</w:t>
      </w:r>
    </w:p>
    <w:p>
      <w:pPr>
        <w:spacing w:before="0" w:after="120" w:line="312" w:lineRule="auto"/>
      </w:pPr>
      <w:r>
        <w:rPr>
          <w:rFonts w:ascii="Jost" w:hAnsi="Jost" w:cs="Jost" w:eastAsia="Jost"/>
          <w:b w:val="0"/>
          <w:i w:val="0"/>
          <w:color w:val="4A3A2C"/>
          <w:sz w:val="20"/>
        </w:rPr>
        <w:t xml:space="preserve">This register lists every supplier The Aura Reset Center relies on, so that we know who supplies what, on which terms, and when each contract and document needs renewing. The General Manager keeps it current and reviews it </w:t>
      </w:r>
      <w:r>
        <w:rPr>
          <w:rFonts w:ascii="Jost" w:hAnsi="Jost" w:cs="Jost" w:eastAsia="Jost"/>
          <w:b w:val="0"/>
          <w:i w:val="0"/>
          <w:color w:val="A6754C"/>
          <w:sz w:val="20"/>
        </w:rPr>
        <w:t>[quarterly]</w:t>
      </w:r>
      <w:r>
        <w:rPr>
          <w:rFonts w:ascii="Jost" w:hAnsi="Jost" w:cs="Jost" w:eastAsia="Jost"/>
          <w:b w:val="0"/>
          <w:i w:val="0"/>
          <w:color w:val="4A3A2C"/>
          <w:sz w:val="20"/>
        </w:rPr>
        <w:t>. New suppliers are added only after the selection steps in section 4 and the purchasing procedure (AUR-FIN-10).</w:t>
      </w:r>
    </w:p>
    <w:p>
      <w:pPr>
        <w:keepNext/>
        <w:spacing w:before="280" w:after="100" w:line="264" w:lineRule="auto"/>
      </w:pPr>
      <w:r>
        <w:rPr>
          <w:rFonts w:ascii="Marcellus" w:hAnsi="Marcellus" w:cs="Marcellus" w:eastAsia="Marcellus"/>
          <w:color w:val="221913"/>
          <w:sz w:val="28"/>
        </w:rPr>
        <w:t>2. Supplier register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569"/>
        <w:gridCol w:w="1569"/>
        <w:gridCol w:w="1569"/>
        <w:gridCol w:w="1569"/>
        <w:gridCol w:w="1569"/>
        <w:gridCol w:w="1569"/>
      </w:tblGrid>
      <w:tr>
        <w:trPr>
          <w:tblHeader w:val="true"/>
        </w:trPr>
        <w:tc>
          <w:tcPr>
            <w:tcW w:type="dxa" w:w="1569"/>
            <w:shd w:val="clear" w:color="auto" w:fill="221913"/>
          </w:tcPr>
          <w:p>
            <w:pPr>
              <w:spacing w:before="40" w:after="40" w:line="276" w:lineRule="auto"/>
            </w:pPr>
            <w:r>
              <w:rPr>
                <w:rFonts w:ascii="Jost" w:hAnsi="Jost" w:cs="Jost" w:eastAsia="Jost"/>
                <w:b/>
                <w:i w:val="0"/>
                <w:color w:val="FBF5EE"/>
                <w:sz w:val="17"/>
              </w:rPr>
              <w:t>Ref</w:t>
            </w:r>
          </w:p>
        </w:tc>
        <w:tc>
          <w:tcPr>
            <w:tcW w:type="dxa" w:w="1569"/>
            <w:shd w:val="clear" w:color="auto" w:fill="221913"/>
          </w:tcPr>
          <w:p>
            <w:pPr>
              <w:spacing w:before="40" w:after="40" w:line="276" w:lineRule="auto"/>
            </w:pPr>
            <w:r>
              <w:rPr>
                <w:rFonts w:ascii="Jost" w:hAnsi="Jost" w:cs="Jost" w:eastAsia="Jost"/>
                <w:b/>
                <w:i w:val="0"/>
                <w:color w:val="FBF5EE"/>
                <w:sz w:val="17"/>
              </w:rPr>
              <w:t>Category</w:t>
            </w:r>
          </w:p>
        </w:tc>
        <w:tc>
          <w:tcPr>
            <w:tcW w:type="dxa" w:w="1569"/>
            <w:shd w:val="clear" w:color="auto" w:fill="221913"/>
          </w:tcPr>
          <w:p>
            <w:pPr>
              <w:spacing w:before="40" w:after="40" w:line="276" w:lineRule="auto"/>
            </w:pPr>
            <w:r>
              <w:rPr>
                <w:rFonts w:ascii="Jost" w:hAnsi="Jost" w:cs="Jost" w:eastAsia="Jost"/>
                <w:b/>
                <w:i w:val="0"/>
                <w:color w:val="FBF5EE"/>
                <w:sz w:val="17"/>
              </w:rPr>
              <w:t>Supplier / contact</w:t>
            </w:r>
          </w:p>
        </w:tc>
        <w:tc>
          <w:tcPr>
            <w:tcW w:type="dxa" w:w="1569"/>
            <w:shd w:val="clear" w:color="auto" w:fill="221913"/>
          </w:tcPr>
          <w:p>
            <w:pPr>
              <w:spacing w:before="40" w:after="40" w:line="276" w:lineRule="auto"/>
            </w:pPr>
            <w:r>
              <w:rPr>
                <w:rFonts w:ascii="Jost" w:hAnsi="Jost" w:cs="Jost" w:eastAsia="Jost"/>
                <w:b/>
                <w:i w:val="0"/>
                <w:color w:val="FBF5EE"/>
                <w:sz w:val="17"/>
              </w:rPr>
              <w:t>Scope and key terms</w:t>
            </w:r>
          </w:p>
        </w:tc>
        <w:tc>
          <w:tcPr>
            <w:tcW w:type="dxa" w:w="1569"/>
            <w:shd w:val="clear" w:color="auto" w:fill="221913"/>
          </w:tcPr>
          <w:p>
            <w:pPr>
              <w:spacing w:before="40" w:after="40" w:line="276" w:lineRule="auto"/>
            </w:pPr>
            <w:r>
              <w:rPr>
                <w:rFonts w:ascii="Jost" w:hAnsi="Jost" w:cs="Jost" w:eastAsia="Jost"/>
                <w:b/>
                <w:i w:val="0"/>
                <w:color w:val="FBF5EE"/>
                <w:sz w:val="17"/>
              </w:rPr>
              <w:t>Documents held</w:t>
            </w:r>
          </w:p>
        </w:tc>
        <w:tc>
          <w:tcPr>
            <w:tcW w:type="dxa" w:w="1569"/>
            <w:shd w:val="clear" w:color="auto" w:fill="221913"/>
          </w:tcPr>
          <w:p>
            <w:pPr>
              <w:spacing w:before="40" w:after="40" w:line="276" w:lineRule="auto"/>
            </w:pPr>
            <w:r>
              <w:rPr>
                <w:rFonts w:ascii="Jost" w:hAnsi="Jost" w:cs="Jost" w:eastAsia="Jost"/>
                <w:b/>
                <w:i w:val="0"/>
                <w:color w:val="FBF5EE"/>
                <w:sz w:val="17"/>
              </w:rPr>
              <w:t>Review / renewal</w:t>
            </w:r>
          </w:p>
        </w:tc>
      </w:tr>
      <w:tr>
        <w:tc>
          <w:tcPr>
            <w:tcW w:type="dxa" w:w="1569"/>
          </w:tcPr>
          <w:p>
            <w:pPr>
              <w:spacing w:before="40" w:after="40" w:line="276" w:lineRule="auto"/>
            </w:pPr>
            <w:r>
              <w:rPr>
                <w:rFonts w:ascii="Jost" w:hAnsi="Jost" w:cs="Jost" w:eastAsia="Jost"/>
                <w:b w:val="0"/>
                <w:i w:val="0"/>
                <w:color w:val="4A3A2C"/>
                <w:sz w:val="17"/>
              </w:rPr>
              <w:t>SUP-01</w:t>
            </w:r>
          </w:p>
        </w:tc>
        <w:tc>
          <w:tcPr>
            <w:tcW w:type="dxa" w:w="1569"/>
          </w:tcPr>
          <w:p>
            <w:pPr>
              <w:spacing w:before="40" w:after="40" w:line="276" w:lineRule="auto"/>
            </w:pPr>
            <w:r>
              <w:rPr>
                <w:rFonts w:ascii="Jost" w:hAnsi="Jost" w:cs="Jost" w:eastAsia="Jost"/>
                <w:b w:val="0"/>
                <w:i w:val="0"/>
                <w:color w:val="4A3A2C"/>
                <w:sz w:val="17"/>
              </w:rPr>
              <w:t>Elevé Health technology</w:t>
            </w:r>
          </w:p>
        </w:tc>
        <w:tc>
          <w:tcPr>
            <w:tcW w:type="dxa" w:w="1569"/>
          </w:tcPr>
          <w:p>
            <w:pPr>
              <w:spacing w:before="40" w:after="40" w:line="276" w:lineRule="auto"/>
            </w:pPr>
            <w:r>
              <w:rPr>
                <w:rFonts w:ascii="Jost" w:hAnsi="Jost" w:cs="Jost" w:eastAsia="Jost"/>
                <w:b w:val="0"/>
                <w:i w:val="0"/>
                <w:color w:val="4A3A2C"/>
                <w:sz w:val="17"/>
              </w:rPr>
              <w:t xml:space="preserve">Elevé Health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Sole supplier of all wellness units; installation, calibration to clinical spec, service schedule, host training, technical support, protocol updates</w:t>
            </w:r>
          </w:p>
        </w:tc>
        <w:tc>
          <w:tcPr>
            <w:tcW w:type="dxa" w:w="1569"/>
          </w:tcPr>
          <w:p>
            <w:pPr>
              <w:spacing w:before="40" w:after="40" w:line="276" w:lineRule="auto"/>
            </w:pPr>
            <w:r>
              <w:rPr>
                <w:rFonts w:ascii="Jost" w:hAnsi="Jost" w:cs="Jost" w:eastAsia="Jost"/>
                <w:b w:val="0"/>
                <w:i w:val="0"/>
                <w:color w:val="4A3A2C"/>
                <w:sz w:val="17"/>
              </w:rPr>
              <w:t>☐ Partner agreement ☐ Service schedule ☐ Warranties</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SUP-02</w:t>
            </w:r>
          </w:p>
        </w:tc>
        <w:tc>
          <w:tcPr>
            <w:tcW w:type="dxa" w:w="1569"/>
            <w:shd w:val="clear" w:color="auto" w:fill="FBF5EE"/>
          </w:tcPr>
          <w:p>
            <w:pPr>
              <w:spacing w:before="40" w:after="40" w:line="276" w:lineRule="auto"/>
            </w:pPr>
            <w:r>
              <w:rPr>
                <w:rFonts w:ascii="Jost" w:hAnsi="Jost" w:cs="Jost" w:eastAsia="Jost"/>
                <w:b w:val="0"/>
                <w:i w:val="0"/>
                <w:color w:val="4A3A2C"/>
                <w:sz w:val="17"/>
              </w:rPr>
              <w:t>Linen and laundry</w:t>
            </w:r>
          </w:p>
        </w:tc>
        <w:tc>
          <w:tcPr>
            <w:tcW w:type="dxa" w:w="1569"/>
            <w:shd w:val="clear" w:color="auto" w:fill="FBF5EE"/>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Robes, towels, sheets; collection frequency </w:t>
            </w:r>
            <w:r>
              <w:rPr>
                <w:rFonts w:ascii="Jost" w:hAnsi="Jost" w:cs="Jost" w:eastAsia="Jost"/>
                <w:b w:val="0"/>
                <w:i w:val="0"/>
                <w:color w:val="A6754C"/>
                <w:sz w:val="17"/>
              </w:rPr>
              <w:t>[___]</w:t>
            </w:r>
            <w:r>
              <w:rPr>
                <w:rFonts w:ascii="Jost" w:hAnsi="Jost" w:cs="Jost" w:eastAsia="Jost"/>
                <w:b w:val="0"/>
                <w:i w:val="0"/>
                <w:color w:val="4A3A2C"/>
                <w:sz w:val="17"/>
              </w:rPr>
              <w:t>; hygiene standard per Dubai Municipality</w:t>
            </w:r>
          </w:p>
        </w:tc>
        <w:tc>
          <w:tcPr>
            <w:tcW w:type="dxa" w:w="1569"/>
            <w:shd w:val="clear" w:color="auto" w:fill="FBF5EE"/>
          </w:tcPr>
          <w:p>
            <w:pPr>
              <w:spacing w:before="40" w:after="40" w:line="276" w:lineRule="auto"/>
            </w:pPr>
            <w:r>
              <w:rPr>
                <w:rFonts w:ascii="Jost" w:hAnsi="Jost" w:cs="Jost" w:eastAsia="Jost"/>
                <w:b w:val="0"/>
                <w:i w:val="0"/>
                <w:color w:val="4A3A2C"/>
                <w:sz w:val="17"/>
              </w:rPr>
              <w:t>☐ Trade licence ☐ Contract ☐ Hygiene certificate</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r>
        <w:tc>
          <w:tcPr>
            <w:tcW w:type="dxa" w:w="1569"/>
          </w:tcPr>
          <w:p>
            <w:pPr>
              <w:spacing w:before="40" w:after="40" w:line="276" w:lineRule="auto"/>
            </w:pPr>
            <w:r>
              <w:rPr>
                <w:rFonts w:ascii="Jost" w:hAnsi="Jost" w:cs="Jost" w:eastAsia="Jost"/>
                <w:b w:val="0"/>
                <w:i w:val="0"/>
                <w:color w:val="4A3A2C"/>
                <w:sz w:val="17"/>
              </w:rPr>
              <w:t>SUP-03</w:t>
            </w:r>
          </w:p>
        </w:tc>
        <w:tc>
          <w:tcPr>
            <w:tcW w:type="dxa" w:w="1569"/>
          </w:tcPr>
          <w:p>
            <w:pPr>
              <w:spacing w:before="40" w:after="40" w:line="276" w:lineRule="auto"/>
            </w:pPr>
            <w:r>
              <w:rPr>
                <w:rFonts w:ascii="Jost" w:hAnsi="Jost" w:cs="Jost" w:eastAsia="Jost"/>
                <w:b w:val="0"/>
                <w:i w:val="0"/>
                <w:color w:val="4A3A2C"/>
                <w:sz w:val="17"/>
              </w:rPr>
              <w:t>Epsom salt and float supplies</w:t>
            </w:r>
          </w:p>
        </w:tc>
        <w:tc>
          <w:tcPr>
            <w:tcW w:type="dxa" w:w="1569"/>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Pharmaceutical-grade Epsom salt (500 kg tank fill and top-ups), filtration consumables, water-test kits, earplugs</w:t>
            </w:r>
          </w:p>
        </w:tc>
        <w:tc>
          <w:tcPr>
            <w:tcW w:type="dxa" w:w="1569"/>
          </w:tcPr>
          <w:p>
            <w:pPr>
              <w:spacing w:before="40" w:after="40" w:line="276" w:lineRule="auto"/>
            </w:pPr>
            <w:r>
              <w:rPr>
                <w:rFonts w:ascii="Jost" w:hAnsi="Jost" w:cs="Jost" w:eastAsia="Jost"/>
                <w:b w:val="0"/>
                <w:i w:val="0"/>
                <w:color w:val="4A3A2C"/>
                <w:sz w:val="17"/>
              </w:rPr>
              <w:t>☐ Trade licence ☐ Product specifications ☐ Certificates of analysis</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SUP-04</w:t>
            </w:r>
          </w:p>
        </w:tc>
        <w:tc>
          <w:tcPr>
            <w:tcW w:type="dxa" w:w="1569"/>
            <w:shd w:val="clear" w:color="auto" w:fill="FBF5EE"/>
          </w:tcPr>
          <w:p>
            <w:pPr>
              <w:spacing w:before="40" w:after="40" w:line="276" w:lineRule="auto"/>
            </w:pPr>
            <w:r>
              <w:rPr>
                <w:rFonts w:ascii="Jost" w:hAnsi="Jost" w:cs="Jost" w:eastAsia="Jost"/>
                <w:b w:val="0"/>
                <w:i w:val="0"/>
                <w:color w:val="4A3A2C"/>
                <w:sz w:val="17"/>
              </w:rPr>
              <w:t>Cleaning chemicals</w:t>
            </w:r>
          </w:p>
        </w:tc>
        <w:tc>
          <w:tcPr>
            <w:tcW w:type="dxa" w:w="1569"/>
            <w:shd w:val="clear" w:color="auto" w:fill="FBF5EE"/>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4A3A2C"/>
                <w:sz w:val="17"/>
              </w:rPr>
              <w:t>Disinfectants compatible with Elevé surfaces, cold plunge and float water treatment</w:t>
            </w:r>
          </w:p>
        </w:tc>
        <w:tc>
          <w:tcPr>
            <w:tcW w:type="dxa" w:w="1569"/>
            <w:shd w:val="clear" w:color="auto" w:fill="FBF5EE"/>
          </w:tcPr>
          <w:p>
            <w:pPr>
              <w:spacing w:before="40" w:after="40" w:line="276" w:lineRule="auto"/>
            </w:pPr>
            <w:r>
              <w:rPr>
                <w:rFonts w:ascii="Jost" w:hAnsi="Jost" w:cs="Jost" w:eastAsia="Jost"/>
                <w:b w:val="0"/>
                <w:i w:val="0"/>
                <w:color w:val="4A3A2C"/>
                <w:sz w:val="17"/>
              </w:rPr>
              <w:t>☐ Trade licence ☐ Safety data sheets ☐ Dubai Municipality approval</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r>
        <w:tc>
          <w:tcPr>
            <w:tcW w:type="dxa" w:w="1569"/>
          </w:tcPr>
          <w:p>
            <w:pPr>
              <w:spacing w:before="40" w:after="40" w:line="276" w:lineRule="auto"/>
            </w:pPr>
            <w:r>
              <w:rPr>
                <w:rFonts w:ascii="Jost" w:hAnsi="Jost" w:cs="Jost" w:eastAsia="Jost"/>
                <w:b w:val="0"/>
                <w:i w:val="0"/>
                <w:color w:val="4A3A2C"/>
                <w:sz w:val="17"/>
              </w:rPr>
              <w:t>SUP-05</w:t>
            </w:r>
          </w:p>
        </w:tc>
        <w:tc>
          <w:tcPr>
            <w:tcW w:type="dxa" w:w="1569"/>
          </w:tcPr>
          <w:p>
            <w:pPr>
              <w:spacing w:before="40" w:after="40" w:line="276" w:lineRule="auto"/>
            </w:pPr>
            <w:r>
              <w:rPr>
                <w:rFonts w:ascii="Jost" w:hAnsi="Jost" w:cs="Jost" w:eastAsia="Jost"/>
                <w:b w:val="0"/>
                <w:i w:val="0"/>
                <w:color w:val="4A3A2C"/>
                <w:sz w:val="17"/>
              </w:rPr>
              <w:t>Clinical supplies / IV (via Clinical Lead)</w:t>
            </w:r>
          </w:p>
        </w:tc>
        <w:tc>
          <w:tcPr>
            <w:tcW w:type="dxa" w:w="1569"/>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IV fluids, nutrient formulas, cannulas, sharps disposal, clinical waste; ordered only by the Clinical Lead</w:t>
            </w:r>
          </w:p>
        </w:tc>
        <w:tc>
          <w:tcPr>
            <w:tcW w:type="dxa" w:w="1569"/>
          </w:tcPr>
          <w:p>
            <w:pPr>
              <w:spacing w:before="40" w:after="40" w:line="276" w:lineRule="auto"/>
            </w:pPr>
            <w:r>
              <w:rPr>
                <w:rFonts w:ascii="Jost" w:hAnsi="Jost" w:cs="Jost" w:eastAsia="Jost"/>
                <w:b w:val="0"/>
                <w:i w:val="0"/>
                <w:color w:val="4A3A2C"/>
                <w:sz w:val="17"/>
              </w:rPr>
              <w:t>☐ Trade licence ☐ DHA / MOHAP product registration ☐ Medical waste contract</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SUP-06</w:t>
            </w:r>
          </w:p>
        </w:tc>
        <w:tc>
          <w:tcPr>
            <w:tcW w:type="dxa" w:w="1569"/>
            <w:shd w:val="clear" w:color="auto" w:fill="FBF5EE"/>
          </w:tcPr>
          <w:p>
            <w:pPr>
              <w:spacing w:before="40" w:after="40" w:line="276" w:lineRule="auto"/>
            </w:pPr>
            <w:r>
              <w:rPr>
                <w:rFonts w:ascii="Jost" w:hAnsi="Jost" w:cs="Jost" w:eastAsia="Jost"/>
                <w:b w:val="0"/>
                <w:i w:val="0"/>
                <w:color w:val="4A3A2C"/>
                <w:sz w:val="17"/>
              </w:rPr>
              <w:t>Retail</w:t>
            </w:r>
          </w:p>
        </w:tc>
        <w:tc>
          <w:tcPr>
            <w:tcW w:type="dxa" w:w="1569"/>
            <w:shd w:val="clear" w:color="auto" w:fill="FBF5EE"/>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Retail products </w:t>
            </w:r>
            <w:r>
              <w:rPr>
                <w:rFonts w:ascii="Jost" w:hAnsi="Jost" w:cs="Jost" w:eastAsia="Jost"/>
                <w:b w:val="0"/>
                <w:i w:val="0"/>
                <w:color w:val="A6754C"/>
                <w:sz w:val="17"/>
              </w:rPr>
              <w:t>[to be confirmed]</w:t>
            </w:r>
          </w:p>
        </w:tc>
        <w:tc>
          <w:tcPr>
            <w:tcW w:type="dxa" w:w="1569"/>
            <w:shd w:val="clear" w:color="auto" w:fill="FBF5EE"/>
          </w:tcPr>
          <w:p>
            <w:pPr>
              <w:spacing w:before="40" w:after="40" w:line="276" w:lineRule="auto"/>
            </w:pPr>
            <w:r>
              <w:rPr>
                <w:rFonts w:ascii="Jost" w:hAnsi="Jost" w:cs="Jost" w:eastAsia="Jost"/>
                <w:b w:val="0"/>
                <w:i w:val="0"/>
                <w:color w:val="4A3A2C"/>
                <w:sz w:val="17"/>
              </w:rPr>
              <w:t>☐ Trade licence ☐ Product compliance</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r>
        <w:tc>
          <w:tcPr>
            <w:tcW w:type="dxa" w:w="1569"/>
          </w:tcPr>
          <w:p>
            <w:pPr>
              <w:spacing w:before="40" w:after="40" w:line="276" w:lineRule="auto"/>
            </w:pPr>
            <w:r>
              <w:rPr>
                <w:rFonts w:ascii="Jost" w:hAnsi="Jost" w:cs="Jost" w:eastAsia="Jost"/>
                <w:b w:val="0"/>
                <w:i w:val="0"/>
                <w:color w:val="4A3A2C"/>
                <w:sz w:val="17"/>
              </w:rPr>
              <w:t>SUP-07</w:t>
            </w:r>
          </w:p>
        </w:tc>
        <w:tc>
          <w:tcPr>
            <w:tcW w:type="dxa" w:w="1569"/>
          </w:tcPr>
          <w:p>
            <w:pPr>
              <w:spacing w:before="40" w:after="40" w:line="276" w:lineRule="auto"/>
            </w:pPr>
            <w:r>
              <w:rPr>
                <w:rFonts w:ascii="Jost" w:hAnsi="Jost" w:cs="Jost" w:eastAsia="Jost"/>
                <w:b w:val="0"/>
                <w:i w:val="0"/>
                <w:color w:val="4A3A2C"/>
                <w:sz w:val="17"/>
              </w:rPr>
              <w:t>IT / booking software</w:t>
            </w:r>
          </w:p>
        </w:tc>
        <w:tc>
          <w:tcPr>
            <w:tcW w:type="dxa" w:w="1569"/>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Booking system, member management, website hosting; data processing terms</w:t>
            </w:r>
          </w:p>
        </w:tc>
        <w:tc>
          <w:tcPr>
            <w:tcW w:type="dxa" w:w="1569"/>
          </w:tcPr>
          <w:p>
            <w:pPr>
              <w:spacing w:before="40" w:after="40" w:line="276" w:lineRule="auto"/>
            </w:pPr>
            <w:r>
              <w:rPr>
                <w:rFonts w:ascii="Jost" w:hAnsi="Jost" w:cs="Jost" w:eastAsia="Jost"/>
                <w:b w:val="0"/>
                <w:i w:val="0"/>
                <w:color w:val="4A3A2C"/>
                <w:sz w:val="17"/>
              </w:rPr>
              <w:t>☐ Contract ☐ Data processing agreement ☐ Security summary</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SUP-08</w:t>
            </w:r>
          </w:p>
        </w:tc>
        <w:tc>
          <w:tcPr>
            <w:tcW w:type="dxa" w:w="1569"/>
            <w:shd w:val="clear" w:color="auto" w:fill="FBF5EE"/>
          </w:tcPr>
          <w:p>
            <w:pPr>
              <w:spacing w:before="40" w:after="40" w:line="276" w:lineRule="auto"/>
            </w:pPr>
            <w:r>
              <w:rPr>
                <w:rFonts w:ascii="Jost" w:hAnsi="Jost" w:cs="Jost" w:eastAsia="Jost"/>
                <w:b w:val="0"/>
                <w:i w:val="0"/>
                <w:color w:val="4A3A2C"/>
                <w:sz w:val="17"/>
              </w:rPr>
              <w:t>Payment provider</w:t>
            </w:r>
          </w:p>
        </w:tc>
        <w:tc>
          <w:tcPr>
            <w:tcW w:type="dxa" w:w="1569"/>
            <w:shd w:val="clear" w:color="auto" w:fill="FBF5EE"/>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4A3A2C"/>
                <w:sz w:val="17"/>
              </w:rPr>
              <w:t>Card terminals, online payments, recurring membership billing</w:t>
            </w:r>
          </w:p>
        </w:tc>
        <w:tc>
          <w:tcPr>
            <w:tcW w:type="dxa" w:w="1569"/>
            <w:shd w:val="clear" w:color="auto" w:fill="FBF5EE"/>
          </w:tcPr>
          <w:p>
            <w:pPr>
              <w:spacing w:before="40" w:after="40" w:line="276" w:lineRule="auto"/>
            </w:pPr>
            <w:r>
              <w:rPr>
                <w:rFonts w:ascii="Jost" w:hAnsi="Jost" w:cs="Jost" w:eastAsia="Jost"/>
                <w:b w:val="0"/>
                <w:i w:val="0"/>
                <w:color w:val="4A3A2C"/>
                <w:sz w:val="17"/>
              </w:rPr>
              <w:t>☐ Merchant agreement ☐ PCI compliance</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r>
        <w:tc>
          <w:tcPr>
            <w:tcW w:type="dxa" w:w="1569"/>
          </w:tcPr>
          <w:p>
            <w:pPr>
              <w:spacing w:before="40" w:after="40" w:line="276" w:lineRule="auto"/>
            </w:pPr>
            <w:r>
              <w:rPr>
                <w:rFonts w:ascii="Jost" w:hAnsi="Jost" w:cs="Jost" w:eastAsia="Jost"/>
                <w:b w:val="0"/>
                <w:i w:val="0"/>
                <w:color w:val="4A3A2C"/>
                <w:sz w:val="17"/>
              </w:rPr>
              <w:t>SUP-09</w:t>
            </w:r>
          </w:p>
        </w:tc>
        <w:tc>
          <w:tcPr>
            <w:tcW w:type="dxa" w:w="1569"/>
          </w:tcPr>
          <w:p>
            <w:pPr>
              <w:spacing w:before="40" w:after="40" w:line="276" w:lineRule="auto"/>
            </w:pPr>
            <w:r>
              <w:rPr>
                <w:rFonts w:ascii="Jost" w:hAnsi="Jost" w:cs="Jost" w:eastAsia="Jost"/>
                <w:b w:val="0"/>
                <w:i w:val="0"/>
                <w:color w:val="4A3A2C"/>
                <w:sz w:val="17"/>
              </w:rPr>
              <w:t>Insurance</w:t>
            </w:r>
          </w:p>
        </w:tc>
        <w:tc>
          <w:tcPr>
            <w:tcW w:type="dxa" w:w="1569"/>
          </w:tcPr>
          <w:p>
            <w:pPr>
              <w:spacing w:before="40" w:after="40" w:line="276" w:lineRule="auto"/>
            </w:pPr>
            <w:r>
              <w:rPr>
                <w:rFonts w:ascii="Jost" w:hAnsi="Jost" w:cs="Jost" w:eastAsia="Jost"/>
                <w:b w:val="0"/>
                <w:i w:val="0"/>
                <w:color w:val="A6754C"/>
                <w:sz w:val="17"/>
              </w:rPr>
              <w:t>[Broker / insurer]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Public liability, professional indemnity, medical malpractice (IV), property, equipment, employer's / health cover</w:t>
            </w:r>
          </w:p>
        </w:tc>
        <w:tc>
          <w:tcPr>
            <w:tcW w:type="dxa" w:w="1569"/>
          </w:tcPr>
          <w:p>
            <w:pPr>
              <w:spacing w:before="40" w:after="40" w:line="276" w:lineRule="auto"/>
            </w:pPr>
            <w:r>
              <w:rPr>
                <w:rFonts w:ascii="Jost" w:hAnsi="Jost" w:cs="Jost" w:eastAsia="Jost"/>
                <w:b w:val="0"/>
                <w:i w:val="0"/>
                <w:color w:val="4A3A2C"/>
                <w:sz w:val="17"/>
              </w:rPr>
              <w:t>☐ Policies ☐ Schedules ☐ Certificates</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SUP-10</w:t>
            </w:r>
          </w:p>
        </w:tc>
        <w:tc>
          <w:tcPr>
            <w:tcW w:type="dxa" w:w="1569"/>
            <w:shd w:val="clear" w:color="auto" w:fill="FBF5EE"/>
          </w:tcPr>
          <w:p>
            <w:pPr>
              <w:spacing w:before="40" w:after="40" w:line="276" w:lineRule="auto"/>
            </w:pPr>
            <w:r>
              <w:rPr>
                <w:rFonts w:ascii="Jost" w:hAnsi="Jost" w:cs="Jost" w:eastAsia="Jost"/>
                <w:b w:val="0"/>
                <w:i w:val="0"/>
                <w:color w:val="4A3A2C"/>
                <w:sz w:val="17"/>
              </w:rPr>
              <w:t>Fit-out contractor</w:t>
            </w:r>
          </w:p>
        </w:tc>
        <w:tc>
          <w:tcPr>
            <w:tcW w:type="dxa" w:w="1569"/>
            <w:shd w:val="clear" w:color="auto" w:fill="FBF5EE"/>
          </w:tcPr>
          <w:p>
            <w:pPr>
              <w:spacing w:before="40" w:after="40" w:line="276" w:lineRule="auto"/>
            </w:pPr>
            <w:r>
              <w:rPr>
                <w:rFonts w:ascii="Jost" w:hAnsi="Jost" w:cs="Jost" w:eastAsia="Jost"/>
                <w:b w:val="0"/>
                <w:i w:val="0"/>
                <w:color w:val="A6754C"/>
                <w:sz w:val="17"/>
              </w:rPr>
              <w:t>[Contractor]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4A3A2C"/>
                <w:sz w:val="17"/>
              </w:rPr>
              <w:t xml:space="preserve">Fit-out of 332 Jumeirah First; defects liability period </w:t>
            </w:r>
            <w:r>
              <w:rPr>
                <w:rFonts w:ascii="Jost" w:hAnsi="Jost" w:cs="Jost" w:eastAsia="Jost"/>
                <w:b w:val="0"/>
                <w:i w:val="0"/>
                <w:color w:val="A6754C"/>
                <w:sz w:val="17"/>
              </w:rPr>
              <w:t>[___]</w:t>
            </w:r>
          </w:p>
        </w:tc>
        <w:tc>
          <w:tcPr>
            <w:tcW w:type="dxa" w:w="1569"/>
            <w:shd w:val="clear" w:color="auto" w:fill="FBF5EE"/>
          </w:tcPr>
          <w:p>
            <w:pPr>
              <w:spacing w:before="40" w:after="40" w:line="276" w:lineRule="auto"/>
            </w:pPr>
            <w:r>
              <w:rPr>
                <w:rFonts w:ascii="Jost" w:hAnsi="Jost" w:cs="Jost" w:eastAsia="Jost"/>
                <w:b w:val="0"/>
                <w:i w:val="0"/>
                <w:color w:val="4A3A2C"/>
                <w:sz w:val="17"/>
              </w:rPr>
              <w:t>☐ Contract ☐ Approvals ☐ As-built drawings ☐ Civil Defence completion</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r>
        <w:tc>
          <w:tcPr>
            <w:tcW w:type="dxa" w:w="1569"/>
          </w:tcPr>
          <w:p>
            <w:pPr>
              <w:spacing w:before="40" w:after="40" w:line="276" w:lineRule="auto"/>
            </w:pPr>
            <w:r>
              <w:rPr>
                <w:rFonts w:ascii="Jost" w:hAnsi="Jost" w:cs="Jost" w:eastAsia="Jost"/>
                <w:b w:val="0"/>
                <w:i w:val="0"/>
                <w:color w:val="4A3A2C"/>
                <w:sz w:val="17"/>
              </w:rPr>
              <w:t>SUP-11</w:t>
            </w:r>
          </w:p>
        </w:tc>
        <w:tc>
          <w:tcPr>
            <w:tcW w:type="dxa" w:w="1569"/>
          </w:tcPr>
          <w:p>
            <w:pPr>
              <w:spacing w:before="40" w:after="40" w:line="276" w:lineRule="auto"/>
            </w:pPr>
            <w:r>
              <w:rPr>
                <w:rFonts w:ascii="Jost" w:hAnsi="Jost" w:cs="Jost" w:eastAsia="Jost"/>
                <w:b w:val="0"/>
                <w:i w:val="0"/>
                <w:color w:val="4A3A2C"/>
                <w:sz w:val="17"/>
              </w:rPr>
              <w:t>Signage and printing</w:t>
            </w:r>
          </w:p>
        </w:tc>
        <w:tc>
          <w:tcPr>
            <w:tcW w:type="dxa" w:w="1569"/>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tcPr>
          <w:p>
            <w:pPr>
              <w:spacing w:before="40" w:after="40" w:line="276" w:lineRule="auto"/>
            </w:pPr>
            <w:r>
              <w:rPr>
                <w:rFonts w:ascii="Jost" w:hAnsi="Jost" w:cs="Jost" w:eastAsia="Jost"/>
                <w:b w:val="0"/>
                <w:i w:val="0"/>
                <w:color w:val="4A3A2C"/>
                <w:sz w:val="17"/>
              </w:rPr>
              <w:t>Exterior signage (subject to permits), wayfinding, print collateral in brand colours and fonts</w:t>
            </w:r>
          </w:p>
        </w:tc>
        <w:tc>
          <w:tcPr>
            <w:tcW w:type="dxa" w:w="1569"/>
          </w:tcPr>
          <w:p>
            <w:pPr>
              <w:spacing w:before="40" w:after="40" w:line="276" w:lineRule="auto"/>
            </w:pPr>
            <w:r>
              <w:rPr>
                <w:rFonts w:ascii="Jost" w:hAnsi="Jost" w:cs="Jost" w:eastAsia="Jost"/>
                <w:b w:val="0"/>
                <w:i w:val="0"/>
                <w:color w:val="4A3A2C"/>
                <w:sz w:val="17"/>
              </w:rPr>
              <w:t>☐ Trade licence ☐ Signage permit</w:t>
            </w:r>
          </w:p>
        </w:tc>
        <w:tc>
          <w:tcPr>
            <w:tcW w:type="dxa" w:w="1569"/>
          </w:tcPr>
          <w:p>
            <w:pPr>
              <w:spacing w:before="40" w:after="40" w:line="276" w:lineRule="auto"/>
            </w:pPr>
            <w:r>
              <w:rPr>
                <w:rFonts w:ascii="Jost" w:hAnsi="Jost" w:cs="Jost" w:eastAsia="Jost"/>
                <w:b w:val="0"/>
                <w:i w:val="0"/>
                <w:color w:val="A6754C"/>
                <w:sz w:val="17"/>
              </w:rPr>
              <w:t>[Date]</w:t>
            </w:r>
          </w:p>
        </w:tc>
      </w:tr>
      <w:tr>
        <w:tc>
          <w:tcPr>
            <w:tcW w:type="dxa" w:w="1569"/>
            <w:shd w:val="clear" w:color="auto" w:fill="FBF5EE"/>
          </w:tcPr>
          <w:p>
            <w:pPr>
              <w:spacing w:before="40" w:after="40" w:line="276" w:lineRule="auto"/>
            </w:pPr>
            <w:r>
              <w:rPr>
                <w:rFonts w:ascii="Jost" w:hAnsi="Jost" w:cs="Jost" w:eastAsia="Jost"/>
                <w:b w:val="0"/>
                <w:i w:val="0"/>
                <w:color w:val="4A3A2C"/>
                <w:sz w:val="17"/>
              </w:rPr>
              <w:t>SUP-12</w:t>
            </w:r>
          </w:p>
        </w:tc>
        <w:tc>
          <w:tcPr>
            <w:tcW w:type="dxa" w:w="1569"/>
            <w:shd w:val="clear" w:color="auto" w:fill="FBF5EE"/>
          </w:tcPr>
          <w:p>
            <w:pPr>
              <w:spacing w:before="40" w:after="40" w:line="276" w:lineRule="auto"/>
            </w:pPr>
            <w:r>
              <w:rPr>
                <w:rFonts w:ascii="Jost" w:hAnsi="Jost" w:cs="Jost" w:eastAsia="Jost"/>
                <w:b w:val="0"/>
                <w:i w:val="0"/>
                <w:color w:val="A6754C"/>
                <w:sz w:val="17"/>
              </w:rPr>
              <w:t>[Other]</w:t>
            </w:r>
          </w:p>
        </w:tc>
        <w:tc>
          <w:tcPr>
            <w:tcW w:type="dxa" w:w="1569"/>
            <w:shd w:val="clear" w:color="auto" w:fill="FBF5EE"/>
          </w:tcPr>
          <w:p>
            <w:pPr>
              <w:spacing w:before="40" w:after="40" w:line="276" w:lineRule="auto"/>
            </w:pPr>
            <w:r>
              <w:rPr>
                <w:rFonts w:ascii="Jost" w:hAnsi="Jost" w:cs="Jost" w:eastAsia="Jost"/>
                <w:b w:val="0"/>
                <w:i w:val="0"/>
                <w:color w:val="A6754C"/>
                <w:sz w:val="17"/>
              </w:rPr>
              <w:t>[Supplier]</w:t>
            </w:r>
            <w:r>
              <w:rPr>
                <w:rFonts w:ascii="Jost" w:hAnsi="Jost" w:cs="Jost" w:eastAsia="Jost"/>
                <w:b w:val="0"/>
                <w:i w:val="0"/>
                <w:color w:val="4A3A2C"/>
                <w:sz w:val="17"/>
              </w:rPr>
              <w:t xml:space="preserve"> · </w:t>
            </w:r>
            <w:r>
              <w:rPr>
                <w:rFonts w:ascii="Jost" w:hAnsi="Jost" w:cs="Jost" w:eastAsia="Jost"/>
                <w:b w:val="0"/>
                <w:i w:val="0"/>
                <w:color w:val="A6754C"/>
                <w:sz w:val="17"/>
              </w:rPr>
              <w:t>[Contact]</w:t>
            </w:r>
          </w:p>
        </w:tc>
        <w:tc>
          <w:tcPr>
            <w:tcW w:type="dxa" w:w="1569"/>
            <w:shd w:val="clear" w:color="auto" w:fill="FBF5EE"/>
          </w:tcPr>
          <w:p>
            <w:pPr>
              <w:spacing w:before="40" w:after="40" w:line="276" w:lineRule="auto"/>
            </w:pPr>
            <w:r>
              <w:rPr>
                <w:rFonts w:ascii="Jost" w:hAnsi="Jost" w:cs="Jost" w:eastAsia="Jost"/>
                <w:b w:val="0"/>
                <w:i w:val="0"/>
                <w:color w:val="A6754C"/>
                <w:sz w:val="17"/>
              </w:rPr>
              <w:t>[Scope]</w:t>
            </w:r>
          </w:p>
        </w:tc>
        <w:tc>
          <w:tcPr>
            <w:tcW w:type="dxa" w:w="1569"/>
            <w:shd w:val="clear" w:color="auto" w:fill="FBF5EE"/>
          </w:tcPr>
          <w:p>
            <w:pPr>
              <w:spacing w:before="40" w:after="40" w:line="276" w:lineRule="auto"/>
            </w:pPr>
            <w:r>
              <w:rPr>
                <w:rFonts w:ascii="Jost" w:hAnsi="Jost" w:cs="Jost" w:eastAsia="Jost"/>
                <w:b w:val="0"/>
                <w:i w:val="0"/>
                <w:color w:val="4A3A2C"/>
                <w:sz w:val="17"/>
              </w:rPr>
              <w:t>☐</w:t>
            </w:r>
          </w:p>
        </w:tc>
        <w:tc>
          <w:tcPr>
            <w:tcW w:type="dxa" w:w="1569"/>
            <w:shd w:val="clear" w:color="auto" w:fill="FBF5EE"/>
          </w:tcPr>
          <w:p>
            <w:pPr>
              <w:spacing w:before="40" w:after="40" w:line="276" w:lineRule="auto"/>
            </w:pPr>
            <w:r>
              <w:rPr>
                <w:rFonts w:ascii="Jost" w:hAnsi="Jost" w:cs="Jost" w:eastAsia="Jost"/>
                <w:b w:val="0"/>
                <w:i w:val="0"/>
                <w:color w:val="A6754C"/>
                <w:sz w:val="17"/>
              </w:rPr>
              <w:t>[Date]</w:t>
            </w:r>
          </w:p>
        </w:tc>
      </w:tr>
    </w:tbl>
    <w:p>
      <w:pPr>
        <w:spacing w:before="0" w:after="80" w:line="240" w:lineRule="auto"/>
      </w:pPr>
    </w:p>
    <w:p>
      <w:pPr>
        <w:keepNext/>
        <w:spacing w:before="200" w:after="60" w:line="264" w:lineRule="auto"/>
      </w:pPr>
      <w:r>
        <w:rPr>
          <w:rFonts w:ascii="Jost" w:hAnsi="Jost" w:cs="Jost" w:eastAsia="Jost"/>
          <w:b/>
          <w:color w:val="A6754C"/>
          <w:sz w:val="17"/>
        </w:rPr>
        <w:t>SUPPLIER DETAIL CARD (ONE PER SUPPLIER)</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Field</w:t>
            </w:r>
          </w:p>
        </w:tc>
        <w:tc>
          <w:tcPr>
            <w:tcW w:type="dxa" w:w="4706"/>
            <w:shd w:val="clear" w:color="auto" w:fill="221913"/>
          </w:tcPr>
          <w:p>
            <w:pPr>
              <w:spacing w:before="40" w:after="40" w:line="276" w:lineRule="auto"/>
            </w:pPr>
            <w:r>
              <w:rPr>
                <w:rFonts w:ascii="Jost" w:hAnsi="Jost" w:cs="Jost" w:eastAsia="Jost"/>
                <w:b/>
                <w:i w:val="0"/>
                <w:color w:val="FBF5EE"/>
                <w:sz w:val="17"/>
              </w:rPr>
              <w:t>Entry</w:t>
            </w:r>
          </w:p>
        </w:tc>
      </w:tr>
      <w:tr>
        <w:tc>
          <w:tcPr>
            <w:tcW w:type="dxa" w:w="4706"/>
          </w:tcPr>
          <w:p>
            <w:pPr>
              <w:spacing w:before="40" w:after="40" w:line="276" w:lineRule="auto"/>
            </w:pPr>
            <w:r>
              <w:rPr>
                <w:rFonts w:ascii="Jost" w:hAnsi="Jost" w:cs="Jost" w:eastAsia="Jost"/>
                <w:b w:val="0"/>
                <w:i w:val="0"/>
                <w:color w:val="4A3A2C"/>
                <w:sz w:val="17"/>
              </w:rPr>
              <w:t>Supplier legal name</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Trade licence no. and expiry</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TRN (VAT)</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Address</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Account contact, phone, email</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Bank details (verified by call-back)</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Payment terms</w:t>
            </w:r>
          </w:p>
        </w:tc>
        <w:tc>
          <w:tcPr>
            <w:tcW w:type="dxa" w:w="4706"/>
          </w:tcPr>
          <w:p>
            <w:pPr>
              <w:spacing w:before="40" w:after="40" w:line="276" w:lineRule="auto"/>
            </w:pPr>
            <w:r>
              <w:rPr>
                <w:rFonts w:ascii="Jost" w:hAnsi="Jost" w:cs="Jost" w:eastAsia="Jost"/>
                <w:b w:val="0"/>
                <w:i w:val="0"/>
                <w:color w:val="4A3A2C"/>
                <w:sz w:val="17"/>
              </w:rPr>
              <w:t>__________</w:t>
            </w:r>
          </w:p>
        </w:tc>
      </w:tr>
      <w:tr>
        <w:tc>
          <w:tcPr>
            <w:tcW w:type="dxa" w:w="4706"/>
            <w:shd w:val="clear" w:color="auto" w:fill="FBF5EE"/>
          </w:tcPr>
          <w:p>
            <w:pPr>
              <w:spacing w:before="40" w:after="40" w:line="276" w:lineRule="auto"/>
            </w:pPr>
            <w:r>
              <w:rPr>
                <w:rFonts w:ascii="Jost" w:hAnsi="Jost" w:cs="Jost" w:eastAsia="Jost"/>
                <w:b w:val="0"/>
                <w:i w:val="0"/>
                <w:color w:val="4A3A2C"/>
                <w:sz w:val="17"/>
              </w:rPr>
              <w:t>Contract start / end / notice period</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Annual spend estimate</w:t>
            </w:r>
          </w:p>
        </w:tc>
        <w:tc>
          <w:tcPr>
            <w:tcW w:type="dxa" w:w="4706"/>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r>
      <w:tr>
        <w:tc>
          <w:tcPr>
            <w:tcW w:type="dxa" w:w="4706"/>
            <w:shd w:val="clear" w:color="auto" w:fill="FBF5EE"/>
          </w:tcPr>
          <w:p>
            <w:pPr>
              <w:spacing w:before="40" w:after="40" w:line="276" w:lineRule="auto"/>
            </w:pPr>
            <w:r>
              <w:rPr>
                <w:rFonts w:ascii="Jost" w:hAnsi="Jost" w:cs="Jost" w:eastAsia="Jost"/>
                <w:b w:val="0"/>
                <w:i w:val="0"/>
                <w:color w:val="4A3A2C"/>
                <w:sz w:val="17"/>
              </w:rPr>
              <w:t>Approved by (per AUR-GOV-02)</w:t>
            </w:r>
          </w:p>
        </w:tc>
        <w:tc>
          <w:tcPr>
            <w:tcW w:type="dxa" w:w="4706"/>
            <w:shd w:val="clear" w:color="auto" w:fill="FBF5EE"/>
          </w:tcPr>
          <w:p>
            <w:pPr>
              <w:spacing w:before="40" w:after="40" w:line="276" w:lineRule="auto"/>
            </w:pPr>
            <w:r>
              <w:rPr>
                <w:rFonts w:ascii="Jost" w:hAnsi="Jost" w:cs="Jost" w:eastAsia="Jost"/>
                <w:b w:val="0"/>
                <w:i w:val="0"/>
                <w:color w:val="4A3A2C"/>
                <w:sz w:val="17"/>
              </w:rPr>
              <w:t>__________</w:t>
            </w:r>
          </w:p>
        </w:tc>
      </w:tr>
      <w:tr>
        <w:tc>
          <w:tcPr>
            <w:tcW w:type="dxa" w:w="4706"/>
          </w:tcPr>
          <w:p>
            <w:pPr>
              <w:spacing w:before="40" w:after="40" w:line="276" w:lineRule="auto"/>
            </w:pPr>
            <w:r>
              <w:rPr>
                <w:rFonts w:ascii="Jost" w:hAnsi="Jost" w:cs="Jost" w:eastAsia="Jost"/>
                <w:b w:val="0"/>
                <w:i w:val="0"/>
                <w:color w:val="4A3A2C"/>
                <w:sz w:val="17"/>
              </w:rPr>
              <w:t>Last performance review and rating</w:t>
            </w:r>
          </w:p>
        </w:tc>
        <w:tc>
          <w:tcPr>
            <w:tcW w:type="dxa" w:w="4706"/>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r>
        <w:br w:type="page"/>
      </w:r>
    </w:p>
    <w:p>
      <w:pPr>
        <w:keepNext/>
        <w:spacing w:before="280" w:after="100" w:line="264" w:lineRule="auto"/>
      </w:pPr>
      <w:r>
        <w:rPr>
          <w:rFonts w:ascii="Marcellus" w:hAnsi="Marcellus" w:cs="Marcellus" w:eastAsia="Marcellus"/>
          <w:color w:val="221913"/>
          <w:sz w:val="28"/>
        </w:rPr>
        <w:t>3. Vendor comparison sheet (three quotes)</w:t>
      </w:r>
    </w:p>
    <w:p>
      <w:pPr>
        <w:spacing w:before="0" w:after="120" w:line="312" w:lineRule="auto"/>
      </w:pPr>
      <w:r>
        <w:rPr>
          <w:rFonts w:ascii="Jost" w:hAnsi="Jost" w:cs="Jost" w:eastAsia="Jost"/>
          <w:b w:val="0"/>
          <w:i w:val="0"/>
          <w:color w:val="4A3A2C"/>
          <w:sz w:val="20"/>
        </w:rPr>
        <w:t>Use for any purchase above the quote threshold in AUR-FIN-10. Elevé Health equipment is single-source by policy and does not need competing quotes; record "Single source — Elevé standard" instead.</w:t>
      </w:r>
    </w:p>
    <w:p>
      <w:pPr>
        <w:spacing w:before="0" w:after="120" w:line="312" w:lineRule="auto"/>
      </w:pPr>
      <w:r>
        <w:rPr>
          <w:rFonts w:ascii="Jost" w:hAnsi="Jost" w:cs="Jost" w:eastAsia="Jost"/>
          <w:b/>
          <w:i w:val="0"/>
          <w:color w:val="4A3A2C"/>
          <w:sz w:val="20"/>
        </w:rPr>
        <w:t>Requirement:</w:t>
      </w:r>
      <w:r>
        <w:rPr>
          <w:rFonts w:ascii="Jost" w:hAnsi="Jost" w:cs="Jost" w:eastAsia="Jost"/>
          <w:b w:val="0"/>
          <w:i w:val="0"/>
          <w:color w:val="4A3A2C"/>
          <w:sz w:val="20"/>
        </w:rPr>
        <w:t xml:space="preserve"> __________ · </w:t>
      </w:r>
      <w:r>
        <w:rPr>
          <w:rFonts w:ascii="Jost" w:hAnsi="Jost" w:cs="Jost" w:eastAsia="Jost"/>
          <w:b/>
          <w:i w:val="0"/>
          <w:color w:val="4A3A2C"/>
          <w:sz w:val="20"/>
        </w:rPr>
        <w:t>Category:</w:t>
      </w:r>
      <w:r>
        <w:rPr>
          <w:rFonts w:ascii="Jost" w:hAnsi="Jost" w:cs="Jost" w:eastAsia="Jost"/>
          <w:b w:val="0"/>
          <w:i w:val="0"/>
          <w:color w:val="4A3A2C"/>
          <w:sz w:val="20"/>
        </w:rPr>
        <w:t xml:space="preserve"> __________ · </w:t>
      </w:r>
      <w:r>
        <w:rPr>
          <w:rFonts w:ascii="Jost" w:hAnsi="Jost" w:cs="Jost" w:eastAsia="Jost"/>
          <w:b/>
          <w:i w:val="0"/>
          <w:color w:val="4A3A2C"/>
          <w:sz w:val="20"/>
        </w:rPr>
        <w:t>RFQ ref:</w:t>
      </w:r>
      <w:r>
        <w:rPr>
          <w:rFonts w:ascii="Jost" w:hAnsi="Jost" w:cs="Jost" w:eastAsia="Jost"/>
          <w:b w:val="0"/>
          <w:i w:val="0"/>
          <w:color w:val="4A3A2C"/>
          <w:sz w:val="20"/>
        </w:rPr>
        <w:t xml:space="preserve"> __________ · </w:t>
      </w:r>
      <w:r>
        <w:rPr>
          <w:rFonts w:ascii="Jost" w:hAnsi="Jost" w:cs="Jost" w:eastAsia="Jost"/>
          <w:b/>
          <w:i w:val="0"/>
          <w:color w:val="4A3A2C"/>
          <w:sz w:val="20"/>
        </w:rPr>
        <w:t>Date:</w:t>
      </w:r>
      <w:r>
        <w:rPr>
          <w:rFonts w:ascii="Jost" w:hAnsi="Jost" w:cs="Jost" w:eastAsia="Jost"/>
          <w:b w:val="0"/>
          <w:i w:val="0"/>
          <w:color w:val="4A3A2C"/>
          <w:sz w:val="20"/>
        </w:rPr>
        <w:t xml:space="preserve"> __________</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Criterion (weight)</w:t>
            </w:r>
          </w:p>
        </w:tc>
        <w:tc>
          <w:tcPr>
            <w:tcW w:type="dxa" w:w="1882"/>
            <w:shd w:val="clear" w:color="auto" w:fill="221913"/>
          </w:tcPr>
          <w:p>
            <w:pPr>
              <w:spacing w:before="40" w:after="40" w:line="276" w:lineRule="auto"/>
            </w:pPr>
            <w:r>
              <w:rPr>
                <w:rFonts w:ascii="Jost" w:hAnsi="Jost" w:cs="Jost" w:eastAsia="Jost"/>
                <w:b/>
                <w:i w:val="0"/>
                <w:color w:val="FBF5EE"/>
                <w:sz w:val="17"/>
              </w:rPr>
              <w:t>Vendor A: __________</w:t>
            </w:r>
          </w:p>
        </w:tc>
        <w:tc>
          <w:tcPr>
            <w:tcW w:type="dxa" w:w="1882"/>
            <w:shd w:val="clear" w:color="auto" w:fill="221913"/>
          </w:tcPr>
          <w:p>
            <w:pPr>
              <w:spacing w:before="40" w:after="40" w:line="276" w:lineRule="auto"/>
            </w:pPr>
            <w:r>
              <w:rPr>
                <w:rFonts w:ascii="Jost" w:hAnsi="Jost" w:cs="Jost" w:eastAsia="Jost"/>
                <w:b/>
                <w:i w:val="0"/>
                <w:color w:val="FBF5EE"/>
                <w:sz w:val="17"/>
              </w:rPr>
              <w:t>Vendor B: __________</w:t>
            </w:r>
          </w:p>
        </w:tc>
        <w:tc>
          <w:tcPr>
            <w:tcW w:type="dxa" w:w="1882"/>
            <w:shd w:val="clear" w:color="auto" w:fill="221913"/>
          </w:tcPr>
          <w:p>
            <w:pPr>
              <w:spacing w:before="40" w:after="40" w:line="276" w:lineRule="auto"/>
            </w:pPr>
            <w:r>
              <w:rPr>
                <w:rFonts w:ascii="Jost" w:hAnsi="Jost" w:cs="Jost" w:eastAsia="Jost"/>
                <w:b/>
                <w:i w:val="0"/>
                <w:color w:val="FBF5EE"/>
                <w:sz w:val="17"/>
              </w:rPr>
              <w:t>Vendor C: __________</w:t>
            </w:r>
          </w:p>
        </w:tc>
        <w:tc>
          <w:tcPr>
            <w:tcW w:type="dxa" w:w="1882"/>
            <w:shd w:val="clear" w:color="auto" w:fill="221913"/>
          </w:tcPr>
          <w:p>
            <w:pPr>
              <w:spacing w:before="40" w:after="40" w:line="276" w:lineRule="auto"/>
            </w:pPr>
            <w:r>
              <w:rPr>
                <w:rFonts w:ascii="Jost" w:hAnsi="Jost" w:cs="Jost" w:eastAsia="Jost"/>
                <w:b/>
                <w:i w:val="0"/>
                <w:color w:val="FBF5EE"/>
                <w:sz w:val="17"/>
              </w:rPr>
              <w:t>Notes</w:t>
            </w:r>
          </w:p>
        </w:tc>
      </w:tr>
      <w:tr>
        <w:tc>
          <w:tcPr>
            <w:tcW w:type="dxa" w:w="1882"/>
          </w:tcPr>
          <w:p>
            <w:pPr>
              <w:spacing w:before="40" w:after="40" w:line="276" w:lineRule="auto"/>
            </w:pPr>
            <w:r>
              <w:rPr>
                <w:rFonts w:ascii="Jost" w:hAnsi="Jost" w:cs="Jost" w:eastAsia="Jost"/>
                <w:b w:val="0"/>
                <w:i w:val="0"/>
                <w:color w:val="4A3A2C"/>
                <w:sz w:val="17"/>
              </w:rPr>
              <w:t>Price incl. VAT (30%)</w:t>
            </w:r>
          </w:p>
        </w:tc>
        <w:tc>
          <w:tcPr>
            <w:tcW w:type="dxa" w:w="1882"/>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c>
          <w:tcPr>
            <w:tcW w:type="dxa" w:w="1882"/>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p>
        </w:tc>
        <w:tc>
          <w:tcPr>
            <w:tcW w:type="dxa" w:w="1882"/>
          </w:tcPr>
          <w:p>
            <w:pPr>
              <w:spacing w:before="40" w:after="40" w:line="276" w:lineRule="auto"/>
            </w:pPr>
          </w:p>
        </w:tc>
      </w:tr>
      <w:tr>
        <w:tc>
          <w:tcPr>
            <w:tcW w:type="dxa" w:w="1882"/>
            <w:shd w:val="clear" w:color="auto" w:fill="FBF5EE"/>
          </w:tcPr>
          <w:p>
            <w:pPr>
              <w:spacing w:before="40" w:after="40" w:line="276" w:lineRule="auto"/>
            </w:pPr>
            <w:r>
              <w:rPr>
                <w:rFonts w:ascii="Jost" w:hAnsi="Jost" w:cs="Jost" w:eastAsia="Jost"/>
                <w:b w:val="0"/>
                <w:i w:val="0"/>
                <w:color w:val="4A3A2C"/>
                <w:sz w:val="17"/>
              </w:rPr>
              <w:t>Quality and specification fit (25%)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p>
        </w:tc>
      </w:tr>
      <w:tr>
        <w:tc>
          <w:tcPr>
            <w:tcW w:type="dxa" w:w="1882"/>
          </w:tcPr>
          <w:p>
            <w:pPr>
              <w:spacing w:before="40" w:after="40" w:line="276" w:lineRule="auto"/>
            </w:pPr>
            <w:r>
              <w:rPr>
                <w:rFonts w:ascii="Jost" w:hAnsi="Jost" w:cs="Jost" w:eastAsia="Jost"/>
                <w:b w:val="0"/>
                <w:i w:val="0"/>
                <w:color w:val="4A3A2C"/>
                <w:sz w:val="17"/>
              </w:rPr>
              <w:t>Compliance and documents (15%)</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p>
        </w:tc>
      </w:tr>
      <w:tr>
        <w:tc>
          <w:tcPr>
            <w:tcW w:type="dxa" w:w="1882"/>
            <w:shd w:val="clear" w:color="auto" w:fill="FBF5EE"/>
          </w:tcPr>
          <w:p>
            <w:pPr>
              <w:spacing w:before="40" w:after="40" w:line="276" w:lineRule="auto"/>
            </w:pPr>
            <w:r>
              <w:rPr>
                <w:rFonts w:ascii="Jost" w:hAnsi="Jost" w:cs="Jost" w:eastAsia="Jost"/>
                <w:b w:val="0"/>
                <w:i w:val="0"/>
                <w:color w:val="4A3A2C"/>
                <w:sz w:val="17"/>
              </w:rPr>
              <w:t>Lead time and reliability (10%)</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p>
        </w:tc>
      </w:tr>
      <w:tr>
        <w:tc>
          <w:tcPr>
            <w:tcW w:type="dxa" w:w="1882"/>
          </w:tcPr>
          <w:p>
            <w:pPr>
              <w:spacing w:before="40" w:after="40" w:line="276" w:lineRule="auto"/>
            </w:pPr>
            <w:r>
              <w:rPr>
                <w:rFonts w:ascii="Jost" w:hAnsi="Jost" w:cs="Jost" w:eastAsia="Jost"/>
                <w:b w:val="0"/>
                <w:i w:val="0"/>
                <w:color w:val="4A3A2C"/>
                <w:sz w:val="17"/>
              </w:rPr>
              <w:t>Service, support and warranty (10%)</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r>
              <w:rPr>
                <w:rFonts w:ascii="Jost" w:hAnsi="Jost" w:cs="Jost" w:eastAsia="Jost"/>
                <w:b w:val="0"/>
                <w:i w:val="0"/>
                <w:color w:val="4A3A2C"/>
                <w:sz w:val="17"/>
              </w:rPr>
              <w:t>/5</w:t>
            </w:r>
          </w:p>
        </w:tc>
        <w:tc>
          <w:tcPr>
            <w:tcW w:type="dxa" w:w="1882"/>
          </w:tcPr>
          <w:p>
            <w:pPr>
              <w:spacing w:before="40" w:after="40" w:line="276" w:lineRule="auto"/>
            </w:pPr>
          </w:p>
        </w:tc>
      </w:tr>
      <w:tr>
        <w:tc>
          <w:tcPr>
            <w:tcW w:type="dxa" w:w="1882"/>
            <w:shd w:val="clear" w:color="auto" w:fill="FBF5EE"/>
          </w:tcPr>
          <w:p>
            <w:pPr>
              <w:spacing w:before="40" w:after="40" w:line="276" w:lineRule="auto"/>
            </w:pPr>
            <w:r>
              <w:rPr>
                <w:rFonts w:ascii="Jost" w:hAnsi="Jost" w:cs="Jost" w:eastAsia="Jost"/>
                <w:b w:val="0"/>
                <w:i w:val="0"/>
                <w:color w:val="4A3A2C"/>
                <w:sz w:val="17"/>
              </w:rPr>
              <w:t>Fit with brand and guest experience (10%)</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r>
              <w:rPr>
                <w:rFonts w:ascii="Jost" w:hAnsi="Jost" w:cs="Jost" w:eastAsia="Jost"/>
                <w:b w:val="0"/>
                <w:i w:val="0"/>
                <w:color w:val="4A3A2C"/>
                <w:sz w:val="17"/>
              </w:rPr>
              <w:t>/5</w:t>
            </w:r>
          </w:p>
        </w:tc>
        <w:tc>
          <w:tcPr>
            <w:tcW w:type="dxa" w:w="1882"/>
            <w:shd w:val="clear" w:color="auto" w:fill="FBF5EE"/>
          </w:tcPr>
          <w:p>
            <w:pPr>
              <w:spacing w:before="40" w:after="40" w:line="276" w:lineRule="auto"/>
            </w:pPr>
          </w:p>
        </w:tc>
      </w:tr>
      <w:tr>
        <w:tc>
          <w:tcPr>
            <w:tcW w:type="dxa" w:w="1882"/>
          </w:tcPr>
          <w:p>
            <w:pPr>
              <w:spacing w:before="40" w:after="40" w:line="276" w:lineRule="auto"/>
            </w:pPr>
            <w:r>
              <w:rPr>
                <w:rFonts w:ascii="Jost" w:hAnsi="Jost" w:cs="Jost" w:eastAsia="Jost"/>
                <w:b/>
                <w:i w:val="0"/>
                <w:color w:val="4A3A2C"/>
                <w:sz w:val="17"/>
              </w:rPr>
              <w:t>Weighted score</w:t>
            </w:r>
          </w:p>
        </w:tc>
        <w:tc>
          <w:tcPr>
            <w:tcW w:type="dxa" w:w="1882"/>
          </w:tcPr>
          <w:p>
            <w:pPr>
              <w:spacing w:before="40" w:after="40" w:line="276" w:lineRule="auto"/>
            </w:pPr>
          </w:p>
        </w:tc>
        <w:tc>
          <w:tcPr>
            <w:tcW w:type="dxa" w:w="1882"/>
          </w:tcPr>
          <w:p>
            <w:pPr>
              <w:spacing w:before="40" w:after="40" w:line="276" w:lineRule="auto"/>
            </w:pPr>
          </w:p>
        </w:tc>
        <w:tc>
          <w:tcPr>
            <w:tcW w:type="dxa" w:w="1882"/>
          </w:tcPr>
          <w:p>
            <w:pPr>
              <w:spacing w:before="40" w:after="40" w:line="276" w:lineRule="auto"/>
            </w:pPr>
          </w:p>
        </w:tc>
        <w:tc>
          <w:tcPr>
            <w:tcW w:type="dxa" w:w="1882"/>
          </w:tcPr>
          <w:p>
            <w:pPr>
              <w:spacing w:before="40" w:after="40" w:line="276" w:lineRule="auto"/>
            </w:pPr>
          </w:p>
        </w:tc>
      </w:tr>
    </w:tbl>
    <w:p>
      <w:pPr>
        <w:spacing w:before="0" w:after="80" w:line="240" w:lineRule="auto"/>
      </w:pPr>
    </w:p>
    <w:p>
      <w:pPr>
        <w:spacing w:before="0" w:after="120" w:line="312" w:lineRule="auto"/>
      </w:pPr>
      <w:r>
        <w:rPr>
          <w:rFonts w:ascii="Jost" w:hAnsi="Jost" w:cs="Jost" w:eastAsia="Jost"/>
          <w:b/>
          <w:i w:val="0"/>
          <w:color w:val="4A3A2C"/>
          <w:sz w:val="20"/>
        </w:rPr>
        <w:t>Recommended vendor:</w:t>
      </w:r>
      <w:r>
        <w:rPr>
          <w:rFonts w:ascii="Jost" w:hAnsi="Jost" w:cs="Jost" w:eastAsia="Jost"/>
          <w:b w:val="0"/>
          <w:i w:val="0"/>
          <w:color w:val="4A3A2C"/>
          <w:sz w:val="20"/>
        </w:rPr>
        <w:t xml:space="preserve"> __________ · </w:t>
      </w:r>
      <w:r>
        <w:rPr>
          <w:rFonts w:ascii="Jost" w:hAnsi="Jost" w:cs="Jost" w:eastAsia="Jost"/>
          <w:b/>
          <w:i w:val="0"/>
          <w:color w:val="4A3A2C"/>
          <w:sz w:val="20"/>
        </w:rPr>
        <w:t>Reason:</w:t>
      </w:r>
      <w:r>
        <w:rPr>
          <w:rFonts w:ascii="Jost" w:hAnsi="Jost" w:cs="Jost" w:eastAsia="Jost"/>
          <w:b w:val="0"/>
          <w:i w:val="0"/>
          <w:color w:val="4A3A2C"/>
          <w:sz w:val="20"/>
        </w:rPr>
        <w:t xml:space="preserve"> __________</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Role</w:t>
            </w:r>
          </w:p>
        </w:tc>
        <w:tc>
          <w:tcPr>
            <w:tcW w:type="dxa" w:w="2353"/>
            <w:shd w:val="clear" w:color="auto" w:fill="221913"/>
          </w:tcPr>
          <w:p>
            <w:pPr>
              <w:spacing w:before="40" w:after="40" w:line="276" w:lineRule="auto"/>
            </w:pPr>
            <w:r>
              <w:rPr>
                <w:rFonts w:ascii="Jost" w:hAnsi="Jost" w:cs="Jost" w:eastAsia="Jost"/>
                <w:b/>
                <w:i w:val="0"/>
                <w:color w:val="FBF5EE"/>
                <w:sz w:val="17"/>
              </w:rPr>
              <w:t>Name</w:t>
            </w:r>
          </w:p>
        </w:tc>
        <w:tc>
          <w:tcPr>
            <w:tcW w:type="dxa" w:w="2353"/>
            <w:shd w:val="clear" w:color="auto" w:fill="221913"/>
          </w:tcPr>
          <w:p>
            <w:pPr>
              <w:spacing w:before="40" w:after="40" w:line="276" w:lineRule="auto"/>
            </w:pPr>
            <w:r>
              <w:rPr>
                <w:rFonts w:ascii="Jost" w:hAnsi="Jost" w:cs="Jost" w:eastAsia="Jost"/>
                <w:b/>
                <w:i w:val="0"/>
                <w:color w:val="FBF5EE"/>
                <w:sz w:val="17"/>
              </w:rPr>
              <w:t>Signature</w:t>
            </w:r>
          </w:p>
        </w:tc>
        <w:tc>
          <w:tcPr>
            <w:tcW w:type="dxa" w:w="2353"/>
            <w:shd w:val="clear" w:color="auto" w:fill="221913"/>
          </w:tcPr>
          <w:p>
            <w:pPr>
              <w:spacing w:before="40" w:after="40" w:line="276" w:lineRule="auto"/>
            </w:pPr>
            <w:r>
              <w:rPr>
                <w:rFonts w:ascii="Jost" w:hAnsi="Jost" w:cs="Jost" w:eastAsia="Jost"/>
                <w:b/>
                <w:i w:val="0"/>
                <w:color w:val="FBF5EE"/>
                <w:sz w:val="17"/>
              </w:rPr>
              <w:t>Date</w:t>
            </w:r>
          </w:p>
        </w:tc>
      </w:tr>
      <w:tr>
        <w:tc>
          <w:tcPr>
            <w:tcW w:type="dxa" w:w="2353"/>
          </w:tcPr>
          <w:p>
            <w:pPr>
              <w:spacing w:before="40" w:after="40" w:line="276" w:lineRule="auto"/>
            </w:pPr>
            <w:r>
              <w:rPr>
                <w:rFonts w:ascii="Jost" w:hAnsi="Jost" w:cs="Jost" w:eastAsia="Jost"/>
                <w:b w:val="0"/>
                <w:i w:val="0"/>
                <w:color w:val="4A3A2C"/>
                <w:sz w:val="17"/>
              </w:rPr>
              <w:t>Prepared by</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c>
          <w:tcPr>
            <w:tcW w:type="dxa" w:w="2353"/>
          </w:tcPr>
          <w:p>
            <w:pPr>
              <w:spacing w:before="40" w:after="40" w:line="276" w:lineRule="auto"/>
            </w:pPr>
            <w:r>
              <w:rPr>
                <w:rFonts w:ascii="Jost" w:hAnsi="Jost" w:cs="Jost" w:eastAsia="Jost"/>
                <w:b w:val="0"/>
                <w:i w:val="0"/>
                <w:color w:val="4A3A2C"/>
                <w:sz w:val="17"/>
              </w:rPr>
              <w:t>__________</w:t>
            </w:r>
          </w:p>
        </w:tc>
      </w:tr>
      <w:tr>
        <w:tc>
          <w:tcPr>
            <w:tcW w:type="dxa" w:w="2353"/>
            <w:shd w:val="clear" w:color="auto" w:fill="FBF5EE"/>
          </w:tcPr>
          <w:p>
            <w:pPr>
              <w:spacing w:before="40" w:after="40" w:line="276" w:lineRule="auto"/>
            </w:pPr>
            <w:r>
              <w:rPr>
                <w:rFonts w:ascii="Jost" w:hAnsi="Jost" w:cs="Jost" w:eastAsia="Jost"/>
                <w:b w:val="0"/>
                <w:i w:val="0"/>
                <w:color w:val="4A3A2C"/>
                <w:sz w:val="17"/>
              </w:rPr>
              <w:t>Approved by</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c>
          <w:tcPr>
            <w:tcW w:type="dxa" w:w="2353"/>
            <w:shd w:val="clear" w:color="auto" w:fill="FBF5EE"/>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4. Selection criteria</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Legal and compliance:</w:t>
      </w:r>
      <w:r>
        <w:rPr>
          <w:rFonts w:ascii="Jost" w:hAnsi="Jost" w:cs="Jost" w:eastAsia="Jost"/>
          <w:b w:val="0"/>
          <w:i w:val="0"/>
          <w:color w:val="4A3A2C"/>
          <w:sz w:val="20"/>
        </w:rPr>
        <w:t xml:space="preserve"> valid UAE trade licence; TRN where VAT-registered; relevant approvals (Dubai Municipality for chemicals and hygiene, DHA or MOHAP for clinical products, Dubai Civil Defence for fire-related works).</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Quality and safety:</w:t>
      </w:r>
      <w:r>
        <w:rPr>
          <w:rFonts w:ascii="Jost" w:hAnsi="Jost" w:cs="Jost" w:eastAsia="Jost"/>
          <w:b w:val="0"/>
          <w:i w:val="0"/>
          <w:color w:val="4A3A2C"/>
          <w:sz w:val="20"/>
        </w:rPr>
        <w:t xml:space="preserve"> products suitable for a clinical-grade wellness environment; compatible with Elevé equipment and Elevé's cleaning guidance; safety data sheets supplied.</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Reliability:</w:t>
      </w:r>
      <w:r>
        <w:rPr>
          <w:rFonts w:ascii="Jost" w:hAnsi="Jost" w:cs="Jost" w:eastAsia="Jost"/>
          <w:b w:val="0"/>
          <w:i w:val="0"/>
          <w:color w:val="4A3A2C"/>
          <w:sz w:val="20"/>
        </w:rPr>
        <w:t xml:space="preserve"> stock availability in Dubai, delivery lead time, back-up supply for critical items (float salt, linen, cleaning chemicals, IV supplies).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Total cost:</w:t>
      </w:r>
      <w:r>
        <w:rPr>
          <w:rFonts w:ascii="Jost" w:hAnsi="Jost" w:cs="Jost" w:eastAsia="Jost"/>
          <w:b w:val="0"/>
          <w:i w:val="0"/>
          <w:color w:val="4A3A2C"/>
          <w:sz w:val="20"/>
        </w:rPr>
        <w:t xml:space="preserve"> price, delivery, minimum orders, payment terms and price-review clauses, not unit price alone.</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Data protection:</w:t>
      </w:r>
      <w:r>
        <w:rPr>
          <w:rFonts w:ascii="Jost" w:hAnsi="Jost" w:cs="Jost" w:eastAsia="Jost"/>
          <w:b w:val="0"/>
          <w:i w:val="0"/>
          <w:color w:val="4A3A2C"/>
          <w:sz w:val="20"/>
        </w:rPr>
        <w:t xml:space="preserve"> for IT, booking and payment suppliers, a data processing agreement in line with the PDPL and PCI compliance for card data.</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i w:val="0"/>
          <w:color w:val="4A3A2C"/>
          <w:sz w:val="20"/>
        </w:rPr>
        <w:t>Guest experience and brand:</w:t>
      </w:r>
      <w:r>
        <w:rPr>
          <w:rFonts w:ascii="Jost" w:hAnsi="Jost" w:cs="Jost" w:eastAsia="Jost"/>
          <w:b w:val="0"/>
          <w:i w:val="0"/>
          <w:color w:val="4A3A2C"/>
          <w:sz w:val="20"/>
        </w:rPr>
        <w:t xml:space="preserve"> quality guests can feel (linen weight, scent, materials) and sustainability where possible.</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i w:val="0"/>
          <w:color w:val="4A3A2C"/>
          <w:sz w:val="20"/>
        </w:rPr>
        <w:t>Conflicts of interest:</w:t>
      </w:r>
      <w:r>
        <w:rPr>
          <w:rFonts w:ascii="Jost" w:hAnsi="Jost" w:cs="Jost" w:eastAsia="Jost"/>
          <w:b w:val="0"/>
          <w:i w:val="0"/>
          <w:color w:val="4A3A2C"/>
          <w:sz w:val="20"/>
        </w:rPr>
        <w:t xml:space="preserve"> anyone with a personal link to a supplier declares it and does not take part in selection.</w:t>
      </w:r>
    </w:p>
    <w:p>
      <w:pPr>
        <w:tabs>
          <w:tab w:pos="357" w:val="left"/>
        </w:tabs>
        <w:spacing w:before="0" w:after="60" w:line="300" w:lineRule="auto"/>
        <w:ind w:left="357" w:hanging="283"/>
      </w:pPr>
      <w:r>
        <w:rPr>
          <w:rFonts w:ascii="Jost" w:hAnsi="Jost" w:cs="Jost" w:eastAsia="Jost"/>
          <w:b/>
          <w:color w:val="A6754C"/>
          <w:sz w:val="20"/>
        </w:rPr>
        <w:t>8.</w:t>
        <w:tab/>
      </w:r>
      <w:r>
        <w:rPr>
          <w:rFonts w:ascii="Jost" w:hAnsi="Jost" w:cs="Jost" w:eastAsia="Jost"/>
          <w:b/>
          <w:i w:val="0"/>
          <w:color w:val="4A3A2C"/>
          <w:sz w:val="20"/>
        </w:rPr>
        <w:t>Performance review:</w:t>
      </w:r>
      <w:r>
        <w:rPr>
          <w:rFonts w:ascii="Jost" w:hAnsi="Jost" w:cs="Jost" w:eastAsia="Jost"/>
          <w:b w:val="0"/>
          <w:i w:val="0"/>
          <w:color w:val="4A3A2C"/>
          <w:sz w:val="20"/>
        </w:rPr>
        <w:t xml:space="preserve"> each supplier is rated </w:t>
      </w:r>
      <w:r>
        <w:rPr>
          <w:rFonts w:ascii="Jost" w:hAnsi="Jost" w:cs="Jost" w:eastAsia="Jost"/>
          <w:b w:val="0"/>
          <w:i w:val="0"/>
          <w:color w:val="A6754C"/>
          <w:sz w:val="20"/>
        </w:rPr>
        <w:t>[annually]</w:t>
      </w:r>
      <w:r>
        <w:rPr>
          <w:rFonts w:ascii="Jost" w:hAnsi="Jost" w:cs="Jost" w:eastAsia="Jost"/>
          <w:b w:val="0"/>
          <w:i w:val="0"/>
          <w:color w:val="4A3A2C"/>
          <w:sz w:val="20"/>
        </w:rPr>
        <w:t xml:space="preserve"> on quality, timeliness, responsiveness and compliance; poor ratings trigger a review.</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AUR-FIN-08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Supplier and Vendor Register</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