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Conflict of Interest, Gifts &amp; Anti-Bribery</w:t>
      </w:r>
    </w:p>
    <w:p>
      <w:pPr>
        <w:spacing w:before="0" w:after="280" w:line="264" w:lineRule="auto"/>
        <w:pBdr>
          <w:bottom w:val="single" w:sz="6" w:space="8" w:color="A6754C"/>
        </w:pBdr>
      </w:pPr>
      <w:r>
        <w:rPr>
          <w:rFonts w:ascii="Jost" w:hAnsi="Jost" w:cs="Jost" w:eastAsia="Jost"/>
          <w:b w:val="0"/>
          <w:i w:val="0"/>
          <w:color w:val="7A6753"/>
          <w:sz w:val="16"/>
        </w:rPr>
        <w:t xml:space="preserve">Document No. AUR-POL-05 · Version 0.2 (Draft) · Owner: CEO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Guests trust that a Host recommends a protocol because it is right for their nervous system that day, not because someone benefits. This policy keeps decisions at The Aura Reset Center honest and clear. It applies to all employees, managers, contractors and the leadership team, and supports UAE law on bribery and corruption, including the Federal Penal Code.</w:t>
      </w:r>
    </w:p>
    <w:p>
      <w:pPr>
        <w:keepNext/>
        <w:spacing w:before="280" w:after="100" w:line="264" w:lineRule="auto"/>
      </w:pPr>
      <w:r>
        <w:rPr>
          <w:rFonts w:ascii="Marcellus" w:hAnsi="Marcellus" w:cs="Marcellus" w:eastAsia="Marcellus"/>
          <w:color w:val="221913"/>
          <w:sz w:val="28"/>
        </w:rPr>
        <w:t>2. What is a conflict of interest</w:t>
      </w:r>
    </w:p>
    <w:p>
      <w:pPr>
        <w:spacing w:before="0" w:after="120" w:line="312" w:lineRule="auto"/>
      </w:pPr>
      <w:r>
        <w:rPr>
          <w:rFonts w:ascii="Jost" w:hAnsi="Jost" w:cs="Jost" w:eastAsia="Jost"/>
          <w:b w:val="0"/>
          <w:i w:val="0"/>
          <w:color w:val="4A3A2C"/>
          <w:sz w:val="20"/>
        </w:rPr>
        <w:t>A conflict of interest arises when your personal interests, or those of family or close friends, could influence, or appear to influence, your work decisions. Having a conflict is not wrongdoing. Hiding one is.</w:t>
      </w:r>
    </w:p>
    <w:p>
      <w:pPr>
        <w:spacing w:before="0" w:after="120" w:line="312" w:lineRule="auto"/>
      </w:pPr>
      <w:r>
        <w:rPr>
          <w:rFonts w:ascii="Jost" w:hAnsi="Jost" w:cs="Jost" w:eastAsia="Jost"/>
          <w:b w:val="0"/>
          <w:i w:val="0"/>
          <w:color w:val="4A3A2C"/>
          <w:sz w:val="20"/>
        </w:rPr>
        <w:t>Examples at The Aura:</w:t>
      </w:r>
    </w:p>
    <w:p>
      <w:pPr>
        <w:pStyle w:val="ListBullet"/>
        <w:spacing w:before="0" w:after="60" w:line="300" w:lineRule="auto"/>
      </w:pPr>
      <w:r>
        <w:rPr>
          <w:rFonts w:ascii="Jost" w:hAnsi="Jost" w:cs="Jost" w:eastAsia="Jost"/>
          <w:b w:val="0"/>
          <w:i w:val="0"/>
          <w:color w:val="4A3A2C"/>
          <w:sz w:val="20"/>
        </w:rPr>
        <w:t>Recommending a guest to a private practitioner you work with.</w:t>
      </w:r>
    </w:p>
    <w:p>
      <w:pPr>
        <w:pStyle w:val="ListBullet"/>
        <w:spacing w:before="0" w:after="60" w:line="300" w:lineRule="auto"/>
      </w:pPr>
      <w:r>
        <w:rPr>
          <w:rFonts w:ascii="Jost" w:hAnsi="Jost" w:cs="Jost" w:eastAsia="Jost"/>
          <w:b w:val="0"/>
          <w:i w:val="0"/>
          <w:color w:val="4A3A2C"/>
          <w:sz w:val="20"/>
        </w:rPr>
        <w:t>Influencing a supplier choice (linen and Aura-branded towels, clothing and slippers, salt, refreshments, retail stock such as copper mugs, organic fragrances, wellness pillows and linen merchandise, laundry and cleaning products, advertising agencies) where a relative owns the supplier.</w:t>
      </w:r>
    </w:p>
    <w:p>
      <w:pPr>
        <w:pStyle w:val="ListBullet"/>
        <w:spacing w:before="0" w:after="60" w:line="300" w:lineRule="auto"/>
      </w:pPr>
      <w:r>
        <w:rPr>
          <w:rFonts w:ascii="Jost" w:hAnsi="Jost" w:cs="Jost" w:eastAsia="Jost"/>
          <w:b w:val="0"/>
          <w:i w:val="0"/>
          <w:color w:val="4A3A2C"/>
          <w:sz w:val="20"/>
        </w:rPr>
        <w:t>Approving a discount, guest pass or founding-member slot for a friend.</w:t>
      </w:r>
    </w:p>
    <w:p>
      <w:pPr>
        <w:pStyle w:val="ListBullet"/>
        <w:spacing w:before="0" w:after="60" w:line="300" w:lineRule="auto"/>
      </w:pPr>
      <w:r>
        <w:rPr>
          <w:rFonts w:ascii="Jost" w:hAnsi="Jost" w:cs="Jost" w:eastAsia="Jost"/>
          <w:b w:val="0"/>
          <w:i w:val="0"/>
          <w:color w:val="4A3A2C"/>
          <w:sz w:val="20"/>
        </w:rPr>
        <w:t>Managing a rota or appraisal for someone you are in a relationship with.</w:t>
      </w:r>
    </w:p>
    <w:p>
      <w:pPr>
        <w:keepNext/>
        <w:spacing w:before="280" w:after="100" w:line="264" w:lineRule="auto"/>
      </w:pPr>
      <w:r>
        <w:rPr>
          <w:rFonts w:ascii="Marcellus" w:hAnsi="Marcellus" w:cs="Marcellus" w:eastAsia="Marcellus"/>
          <w:color w:val="221913"/>
          <w:sz w:val="28"/>
        </w:rPr>
        <w:t>3. Gifts from guests</w:t>
      </w:r>
    </w:p>
    <w:p>
      <w:pPr>
        <w:keepNext/>
        <w:spacing w:before="200" w:after="60" w:line="264" w:lineRule="auto"/>
      </w:pPr>
      <w:r>
        <w:rPr>
          <w:rFonts w:ascii="Jost" w:hAnsi="Jost" w:cs="Jost" w:eastAsia="Jost"/>
          <w:b/>
          <w:color w:val="A6754C"/>
          <w:sz w:val="17"/>
        </w:rPr>
        <w:t>3.1 TIPPING</w:t>
      </w:r>
    </w:p>
    <w:p>
      <w:pPr>
        <w:spacing w:before="0" w:after="120" w:line="312" w:lineRule="auto"/>
      </w:pPr>
      <w:r>
        <w:rPr>
          <w:rFonts w:ascii="Jost" w:hAnsi="Jost" w:cs="Jost" w:eastAsia="Jost"/>
          <w:b w:val="0"/>
          <w:i w:val="0"/>
          <w:color w:val="4A3A2C"/>
          <w:sz w:val="20"/>
        </w:rPr>
        <w:t xml:space="preserve">Tipping policy: </w:t>
      </w:r>
      <w:r>
        <w:rPr>
          <w:rFonts w:ascii="Jost" w:hAnsi="Jost" w:cs="Jost" w:eastAsia="Jost"/>
          <w:b w:val="0"/>
          <w:i w:val="0"/>
          <w:color w:val="A6754C"/>
          <w:sz w:val="20"/>
        </w:rPr>
        <w:t>[Tips accepted / not accepted]</w:t>
      </w:r>
      <w:r>
        <w:rPr>
          <w:rFonts w:ascii="Jost" w:hAnsi="Jost" w:cs="Jost" w:eastAsia="Jost"/>
          <w:b w:val="0"/>
          <w:i w:val="0"/>
          <w:color w:val="4A3A2C"/>
          <w:sz w:val="20"/>
        </w:rPr>
        <w:t xml:space="preserve">. Where tips are accepted, they are </w:t>
      </w:r>
      <w:r>
        <w:rPr>
          <w:rFonts w:ascii="Jost" w:hAnsi="Jost" w:cs="Jost" w:eastAsia="Jost"/>
          <w:b w:val="0"/>
          <w:i w:val="0"/>
          <w:color w:val="A6754C"/>
          <w:sz w:val="20"/>
        </w:rPr>
        <w:t>[pooled and shared equally among the shift team / paid via payroll]</w:t>
      </w:r>
      <w:r>
        <w:rPr>
          <w:rFonts w:ascii="Jost" w:hAnsi="Jost" w:cs="Jost" w:eastAsia="Jost"/>
          <w:b w:val="0"/>
          <w:i w:val="0"/>
          <w:color w:val="4A3A2C"/>
          <w:sz w:val="20"/>
        </w:rPr>
        <w:t xml:space="preserve"> in line with </w:t>
      </w:r>
      <w:r>
        <w:rPr>
          <w:rFonts w:ascii="Jost" w:hAnsi="Jost" w:cs="Jost" w:eastAsia="Jost"/>
          <w:b w:val="0"/>
          <w:i w:val="0"/>
          <w:color w:val="A6754C"/>
          <w:sz w:val="20"/>
        </w:rPr>
        <w:t>[Tip pooling procedure]</w:t>
      </w:r>
      <w:r>
        <w:rPr>
          <w:rFonts w:ascii="Jost" w:hAnsi="Jost" w:cs="Jost" w:eastAsia="Jost"/>
          <w:b w:val="0"/>
          <w:i w:val="0"/>
          <w:color w:val="4A3A2C"/>
          <w:sz w:val="20"/>
        </w:rPr>
        <w:t>. Hosts never ask for, suggest or hint at a tip.</w:t>
      </w:r>
    </w:p>
    <w:p>
      <w:pPr>
        <w:keepNext/>
        <w:spacing w:before="200" w:after="60" w:line="264" w:lineRule="auto"/>
      </w:pPr>
      <w:r>
        <w:rPr>
          <w:rFonts w:ascii="Jost" w:hAnsi="Jost" w:cs="Jost" w:eastAsia="Jost"/>
          <w:b/>
          <w:color w:val="A6754C"/>
          <w:sz w:val="17"/>
        </w:rPr>
        <w:t>3.2 GIFTS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Gift</w:t>
            </w:r>
          </w:p>
        </w:tc>
        <w:tc>
          <w:tcPr>
            <w:tcW w:type="dxa" w:w="4706"/>
            <w:shd w:val="clear" w:color="auto" w:fill="221913"/>
          </w:tcPr>
          <w:p>
            <w:pPr>
              <w:spacing w:before="40" w:after="40" w:line="276" w:lineRule="auto"/>
            </w:pPr>
            <w:r>
              <w:rPr>
                <w:rFonts w:ascii="Jost" w:hAnsi="Jost" w:cs="Jost" w:eastAsia="Jost"/>
                <w:b/>
                <w:i w:val="0"/>
                <w:color w:val="FBF5EE"/>
                <w:sz w:val="17"/>
              </w:rPr>
              <w:t>Rule</w:t>
            </w:r>
          </w:p>
        </w:tc>
      </w:tr>
      <w:tr>
        <w:tc>
          <w:tcPr>
            <w:tcW w:type="dxa" w:w="4706"/>
          </w:tcPr>
          <w:p>
            <w:pPr>
              <w:spacing w:before="40" w:after="40" w:line="276" w:lineRule="auto"/>
            </w:pPr>
            <w:r>
              <w:rPr>
                <w:rFonts w:ascii="Jost" w:hAnsi="Jost" w:cs="Jost" w:eastAsia="Jost"/>
                <w:b w:val="0"/>
                <w:i w:val="0"/>
                <w:color w:val="4A3A2C"/>
                <w:sz w:val="17"/>
              </w:rPr>
              <w:t xml:space="preserve">Small token of thanks (dates, sweets, flowers, a card) of value under AED </w:t>
            </w:r>
            <w:r>
              <w:rPr>
                <w:rFonts w:ascii="Jost" w:hAnsi="Jost" w:cs="Jost" w:eastAsia="Jost"/>
                <w:b w:val="0"/>
                <w:i w:val="0"/>
                <w:color w:val="A6754C"/>
                <w:sz w:val="17"/>
              </w:rPr>
              <w:t>[___]</w:t>
            </w:r>
          </w:p>
        </w:tc>
        <w:tc>
          <w:tcPr>
            <w:tcW w:type="dxa" w:w="4706"/>
          </w:tcPr>
          <w:p>
            <w:pPr>
              <w:spacing w:before="40" w:after="40" w:line="276" w:lineRule="auto"/>
            </w:pPr>
            <w:r>
              <w:rPr>
                <w:rFonts w:ascii="Jost" w:hAnsi="Jost" w:cs="Jost" w:eastAsia="Jost"/>
                <w:b w:val="0"/>
                <w:i w:val="0"/>
                <w:color w:val="4A3A2C"/>
                <w:sz w:val="17"/>
              </w:rPr>
              <w:t>May be accepted and shared with the team. No need to declare.</w:t>
            </w:r>
          </w:p>
        </w:tc>
      </w:tr>
      <w:tr>
        <w:tc>
          <w:tcPr>
            <w:tcW w:type="dxa" w:w="4706"/>
            <w:shd w:val="clear" w:color="auto" w:fill="FBF5EE"/>
          </w:tcPr>
          <w:p>
            <w:pPr>
              <w:spacing w:before="40" w:after="40" w:line="276" w:lineRule="auto"/>
            </w:pPr>
            <w:r>
              <w:rPr>
                <w:rFonts w:ascii="Jost" w:hAnsi="Jost" w:cs="Jost" w:eastAsia="Jost"/>
                <w:b w:val="0"/>
                <w:i w:val="0"/>
                <w:color w:val="4A3A2C"/>
                <w:sz w:val="17"/>
              </w:rPr>
              <w:t xml:space="preserve">Items above AED </w:t>
            </w:r>
            <w:r>
              <w:rPr>
                <w:rFonts w:ascii="Jost" w:hAnsi="Jost" w:cs="Jost" w:eastAsia="Jost"/>
                <w:b w:val="0"/>
                <w:i w:val="0"/>
                <w:color w:val="A6754C"/>
                <w:sz w:val="17"/>
              </w:rPr>
              <w:t>[___]</w:t>
            </w:r>
            <w:r>
              <w:rPr>
                <w:rFonts w:ascii="Jost" w:hAnsi="Jost" w:cs="Jost" w:eastAsia="Jost"/>
                <w:b w:val="0"/>
                <w:i w:val="0"/>
                <w:color w:val="4A3A2C"/>
                <w:sz w:val="17"/>
              </w:rPr>
              <w:t>, vouchers or anything personal</w:t>
            </w:r>
          </w:p>
        </w:tc>
        <w:tc>
          <w:tcPr>
            <w:tcW w:type="dxa" w:w="4706"/>
            <w:shd w:val="clear" w:color="auto" w:fill="FBF5EE"/>
          </w:tcPr>
          <w:p>
            <w:pPr>
              <w:spacing w:before="40" w:after="40" w:line="276" w:lineRule="auto"/>
            </w:pPr>
            <w:r>
              <w:rPr>
                <w:rFonts w:ascii="Jost" w:hAnsi="Jost" w:cs="Jost" w:eastAsia="Jost"/>
                <w:b w:val="0"/>
                <w:i w:val="0"/>
                <w:color w:val="4A3A2C"/>
                <w:sz w:val="17"/>
              </w:rPr>
              <w:t>Politely decline, or declare to the General Manager within 2 days, who decides whether it is kept, shared or returned.</w:t>
            </w:r>
          </w:p>
        </w:tc>
      </w:tr>
      <w:tr>
        <w:tc>
          <w:tcPr>
            <w:tcW w:type="dxa" w:w="4706"/>
          </w:tcPr>
          <w:p>
            <w:pPr>
              <w:spacing w:before="40" w:after="40" w:line="276" w:lineRule="auto"/>
            </w:pPr>
            <w:r>
              <w:rPr>
                <w:rFonts w:ascii="Jost" w:hAnsi="Jost" w:cs="Jost" w:eastAsia="Jost"/>
                <w:b w:val="0"/>
                <w:i w:val="0"/>
                <w:color w:val="4A3A2C"/>
                <w:sz w:val="17"/>
              </w:rPr>
              <w:t>Cash or cash equivalents (gift cards, transfers) outside the tipping policy</w:t>
            </w:r>
          </w:p>
        </w:tc>
        <w:tc>
          <w:tcPr>
            <w:tcW w:type="dxa" w:w="4706"/>
          </w:tcPr>
          <w:p>
            <w:pPr>
              <w:spacing w:before="40" w:after="40" w:line="276" w:lineRule="auto"/>
            </w:pPr>
            <w:r>
              <w:rPr>
                <w:rFonts w:ascii="Jost" w:hAnsi="Jost" w:cs="Jost" w:eastAsia="Jost"/>
                <w:b w:val="0"/>
                <w:i w:val="0"/>
                <w:color w:val="4A3A2C"/>
                <w:sz w:val="17"/>
              </w:rPr>
              <w:t>Never accept.</w:t>
            </w:r>
          </w:p>
        </w:tc>
      </w:tr>
      <w:tr>
        <w:tc>
          <w:tcPr>
            <w:tcW w:type="dxa" w:w="4706"/>
            <w:shd w:val="clear" w:color="auto" w:fill="FBF5EE"/>
          </w:tcPr>
          <w:p>
            <w:pPr>
              <w:spacing w:before="40" w:after="40" w:line="276" w:lineRule="auto"/>
            </w:pPr>
            <w:r>
              <w:rPr>
                <w:rFonts w:ascii="Jost" w:hAnsi="Jost" w:cs="Jost" w:eastAsia="Jost"/>
                <w:b w:val="0"/>
                <w:i w:val="0"/>
                <w:color w:val="4A3A2C"/>
                <w:sz w:val="17"/>
              </w:rPr>
              <w:t>Gifts offered in return for a favour (better slot, extra session, a discount, waiving a fee)</w:t>
            </w:r>
          </w:p>
        </w:tc>
        <w:tc>
          <w:tcPr>
            <w:tcW w:type="dxa" w:w="4706"/>
            <w:shd w:val="clear" w:color="auto" w:fill="FBF5EE"/>
          </w:tcPr>
          <w:p>
            <w:pPr>
              <w:spacing w:before="40" w:after="40" w:line="276" w:lineRule="auto"/>
            </w:pPr>
            <w:r>
              <w:rPr>
                <w:rFonts w:ascii="Jost" w:hAnsi="Jost" w:cs="Jost" w:eastAsia="Jost"/>
                <w:b w:val="0"/>
                <w:i w:val="0"/>
                <w:color w:val="4A3A2C"/>
                <w:sz w:val="17"/>
              </w:rPr>
              <w:t>Never accept. Report to the General Manager.</w:t>
            </w:r>
          </w:p>
        </w:tc>
      </w:tr>
    </w:tbl>
    <w:p>
      <w:pPr>
        <w:spacing w:before="0" w:after="80" w:line="240" w:lineRule="auto"/>
      </w:pPr>
    </w:p>
    <w:p>
      <w:pPr>
        <w:spacing w:before="0" w:after="120" w:line="312" w:lineRule="auto"/>
      </w:pPr>
      <w:r>
        <w:rPr>
          <w:rFonts w:ascii="Jost" w:hAnsi="Jost" w:cs="Jost" w:eastAsia="Jost"/>
          <w:b w:val="0"/>
          <w:i w:val="0"/>
          <w:color w:val="4A3A2C"/>
          <w:sz w:val="20"/>
        </w:rPr>
        <w:t>A polite way to decline: "That is so kind of you. We are not able to accept this, but your words mean a lot to the team."</w:t>
      </w:r>
    </w:p>
    <w:p>
      <w:pPr>
        <w:keepNext/>
        <w:spacing w:before="280" w:after="100" w:line="264" w:lineRule="auto"/>
      </w:pPr>
      <w:r>
        <w:rPr>
          <w:rFonts w:ascii="Marcellus" w:hAnsi="Marcellus" w:cs="Marcellus" w:eastAsia="Marcellus"/>
          <w:color w:val="221913"/>
          <w:sz w:val="28"/>
        </w:rPr>
        <w:t>4. Suppliers and business partners</w:t>
      </w:r>
    </w:p>
    <w:p>
      <w:pPr>
        <w:pStyle w:val="ListBullet"/>
        <w:spacing w:before="0" w:after="60" w:line="300" w:lineRule="auto"/>
      </w:pPr>
      <w:r>
        <w:rPr>
          <w:rFonts w:ascii="Jost" w:hAnsi="Jost" w:cs="Jost" w:eastAsia="Jost"/>
          <w:b w:val="0"/>
          <w:i w:val="0"/>
          <w:color w:val="4A3A2C"/>
          <w:sz w:val="20"/>
        </w:rPr>
        <w:t xml:space="preserve">Do not accept gifts, meals, hospitality, travel or samples from current or potential suppliers worth more than AED </w:t>
      </w:r>
      <w:r>
        <w:rPr>
          <w:rFonts w:ascii="Jost" w:hAnsi="Jost" w:cs="Jost" w:eastAsia="Jost"/>
          <w:b w:val="0"/>
          <w:i w:val="0"/>
          <w:color w:val="A6754C"/>
          <w:sz w:val="20"/>
        </w:rPr>
        <w:t>[___]</w:t>
      </w:r>
      <w:r>
        <w:rPr>
          <w:rFonts w:ascii="Jost" w:hAnsi="Jost" w:cs="Jost" w:eastAsia="Jost"/>
          <w:b w:val="0"/>
          <w:i w:val="0"/>
          <w:color w:val="4A3A2C"/>
          <w:sz w:val="20"/>
        </w:rPr>
        <w:t xml:space="preserve"> without written approval from the CEO.</w:t>
      </w:r>
    </w:p>
    <w:p>
      <w:pPr>
        <w:pStyle w:val="ListBullet"/>
        <w:spacing w:before="0" w:after="60" w:line="300" w:lineRule="auto"/>
      </w:pPr>
      <w:r>
        <w:rPr>
          <w:rFonts w:ascii="Jost" w:hAnsi="Jost" w:cs="Jost" w:eastAsia="Jost"/>
          <w:b w:val="0"/>
          <w:i w:val="0"/>
          <w:color w:val="4A3A2C"/>
          <w:sz w:val="20"/>
        </w:rPr>
        <w:t>Never accept anything during a tender, price negotiation or contract renewal.</w:t>
      </w:r>
    </w:p>
    <w:p>
      <w:pPr>
        <w:pStyle w:val="ListBullet"/>
        <w:spacing w:before="0" w:after="60" w:line="300" w:lineRule="auto"/>
      </w:pPr>
      <w:r>
        <w:rPr>
          <w:rFonts w:ascii="Jost" w:hAnsi="Jost" w:cs="Jost" w:eastAsia="Jost"/>
          <w:b w:val="0"/>
          <w:i w:val="0"/>
          <w:color w:val="4A3A2C"/>
          <w:sz w:val="20"/>
        </w:rPr>
        <w:t xml:space="preserve">Supplier selection follows the purchasing procedure: </w:t>
      </w:r>
      <w:r>
        <w:rPr>
          <w:rFonts w:ascii="Jost" w:hAnsi="Jost" w:cs="Jost" w:eastAsia="Jost"/>
          <w:b w:val="0"/>
          <w:i w:val="0"/>
          <w:color w:val="A6754C"/>
          <w:sz w:val="20"/>
        </w:rPr>
        <w:t>[Purchasing procedure reference]</w:t>
      </w:r>
      <w:r>
        <w:rPr>
          <w:rFonts w:ascii="Jost" w:hAnsi="Jost" w:cs="Jost" w:eastAsia="Jost"/>
          <w:b w:val="0"/>
          <w:i w:val="0"/>
          <w:color w:val="4A3A2C"/>
          <w:sz w:val="20"/>
        </w:rPr>
        <w:t xml:space="preserve">, with at least </w:t>
      </w:r>
      <w:r>
        <w:rPr>
          <w:rFonts w:ascii="Jost" w:hAnsi="Jost" w:cs="Jost" w:eastAsia="Jost"/>
          <w:b w:val="0"/>
          <w:i w:val="0"/>
          <w:color w:val="A6754C"/>
          <w:sz w:val="20"/>
        </w:rPr>
        <w:t>[two]</w:t>
      </w:r>
      <w:r>
        <w:rPr>
          <w:rFonts w:ascii="Jost" w:hAnsi="Jost" w:cs="Jost" w:eastAsia="Jost"/>
          <w:b w:val="0"/>
          <w:i w:val="0"/>
          <w:color w:val="4A3A2C"/>
          <w:sz w:val="20"/>
        </w:rPr>
        <w:t xml:space="preserve"> quotes for purchases above AED </w:t>
      </w:r>
      <w:r>
        <w:rPr>
          <w:rFonts w:ascii="Jost" w:hAnsi="Jost" w:cs="Jost" w:eastAsia="Jost"/>
          <w:b w:val="0"/>
          <w:i w:val="0"/>
          <w:color w:val="A6754C"/>
          <w:sz w:val="20"/>
        </w:rPr>
        <w:t>[___]</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Product samples provided for evaluation remain company property.</w:t>
      </w:r>
    </w:p>
    <w:p>
      <w:pPr>
        <w:pStyle w:val="ListBullet"/>
        <w:spacing w:before="0" w:after="60" w:line="300" w:lineRule="auto"/>
      </w:pPr>
      <w:r>
        <w:rPr>
          <w:rFonts w:ascii="Jost" w:hAnsi="Jost" w:cs="Jost" w:eastAsia="Jost"/>
          <w:b w:val="0"/>
          <w:i w:val="0"/>
          <w:color w:val="4A3A2C"/>
          <w:sz w:val="20"/>
        </w:rPr>
        <w:t>Any approach from a supplier offering a personal benefit must be reported to the CEO.</w:t>
      </w:r>
    </w:p>
    <w:p>
      <w:pPr>
        <w:keepNext/>
        <w:spacing w:before="280" w:after="100" w:line="264" w:lineRule="auto"/>
      </w:pPr>
      <w:r>
        <w:rPr>
          <w:rFonts w:ascii="Marcellus" w:hAnsi="Marcellus" w:cs="Marcellus" w:eastAsia="Marcellus"/>
          <w:color w:val="221913"/>
          <w:sz w:val="28"/>
        </w:rPr>
        <w:t>5. The Elevé Health relationship</w:t>
      </w:r>
    </w:p>
    <w:p>
      <w:pPr>
        <w:spacing w:before="0" w:after="120" w:line="312" w:lineRule="auto"/>
      </w:pPr>
      <w:r>
        <w:rPr>
          <w:rFonts w:ascii="Jost" w:hAnsi="Jost" w:cs="Jost" w:eastAsia="Jost"/>
          <w:b w:val="0"/>
          <w:i w:val="0"/>
          <w:color w:val="4A3A2C"/>
          <w:sz w:val="20"/>
        </w:rPr>
        <w:t>Elevé Health is our sole technology partner. Every machine at The Aura is Elevé, and The Aura is Elevé Health's first partner clinic in the UAE. Elevé installs, calibrates and services every unit, trains every Host and supports us for life.</w:t>
      </w:r>
    </w:p>
    <w:p>
      <w:pPr>
        <w:spacing w:before="0" w:after="120" w:line="312" w:lineRule="auto"/>
      </w:pPr>
      <w:r>
        <w:rPr>
          <w:rFonts w:ascii="Jost" w:hAnsi="Jost" w:cs="Jost" w:eastAsia="Jost"/>
          <w:b w:val="0"/>
          <w:i w:val="0"/>
          <w:color w:val="4A3A2C"/>
          <w:sz w:val="20"/>
        </w:rPr>
        <w:t>Because this is a close and exclusive relationship:</w:t>
      </w:r>
    </w:p>
    <w:p>
      <w:pPr>
        <w:pStyle w:val="ListBullet"/>
        <w:spacing w:before="0" w:after="60" w:line="300" w:lineRule="auto"/>
      </w:pPr>
      <w:r>
        <w:rPr>
          <w:rFonts w:ascii="Jost" w:hAnsi="Jost" w:cs="Jost" w:eastAsia="Jost"/>
          <w:b w:val="0"/>
          <w:i w:val="0"/>
          <w:color w:val="4A3A2C"/>
          <w:sz w:val="20"/>
        </w:rPr>
        <w:t>Commercial terms with Elevé are handled only by the Founder &amp; CEO and CEO.</w:t>
      </w:r>
    </w:p>
    <w:p>
      <w:pPr>
        <w:pStyle w:val="ListBullet"/>
        <w:spacing w:before="0" w:after="60" w:line="300" w:lineRule="auto"/>
      </w:pPr>
      <w:r>
        <w:rPr>
          <w:rFonts w:ascii="Jost" w:hAnsi="Jost" w:cs="Jost" w:eastAsia="Jost"/>
          <w:b w:val="0"/>
          <w:i w:val="0"/>
          <w:color w:val="4A3A2C"/>
          <w:sz w:val="20"/>
        </w:rPr>
        <w:t>Training, travel or hospitality provided by Elevé (for example, visits to the Longevity Lounge in Newport Beach) is accepted only when approved in writing by the CEO and recorded in the register.</w:t>
      </w:r>
    </w:p>
    <w:p>
      <w:pPr>
        <w:pStyle w:val="ListBullet"/>
        <w:spacing w:before="0" w:after="60" w:line="300" w:lineRule="auto"/>
      </w:pPr>
      <w:r>
        <w:rPr>
          <w:rFonts w:ascii="Jost" w:hAnsi="Jost" w:cs="Jost" w:eastAsia="Jost"/>
          <w:b w:val="0"/>
          <w:i w:val="0"/>
          <w:color w:val="4A3A2C"/>
          <w:sz w:val="20"/>
        </w:rPr>
        <w:t>Staff must not accept personal payments, commissions or referral fees from Elevé or its distributors, including for guests who buy equipment for home use.</w:t>
      </w:r>
    </w:p>
    <w:p>
      <w:pPr>
        <w:pStyle w:val="ListBullet"/>
        <w:spacing w:before="0" w:after="60" w:line="300" w:lineRule="auto"/>
      </w:pPr>
      <w:r>
        <w:rPr>
          <w:rFonts w:ascii="Jost" w:hAnsi="Jost" w:cs="Jost" w:eastAsia="Jost"/>
          <w:b w:val="0"/>
          <w:i w:val="0"/>
          <w:color w:val="4A3A2C"/>
          <w:sz w:val="20"/>
        </w:rPr>
        <w:t>Staff must not represent Elevé, sell Elevé products privately, or work for Elevé while employed by The Aura without written approval.</w:t>
      </w:r>
    </w:p>
    <w:p>
      <w:pPr>
        <w:pStyle w:val="ListBullet"/>
        <w:spacing w:before="0" w:after="60" w:line="300" w:lineRule="auto"/>
      </w:pPr>
      <w:r>
        <w:rPr>
          <w:rFonts w:ascii="Jost" w:hAnsi="Jost" w:cs="Jost" w:eastAsia="Jost"/>
          <w:b w:val="0"/>
          <w:i w:val="0"/>
          <w:color w:val="4A3A2C"/>
          <w:sz w:val="20"/>
        </w:rPr>
        <w:t>Service and calibration records are reported accurately. Never sign off an Elevé service visit you did not witness.</w:t>
      </w:r>
    </w:p>
    <w:p>
      <w:pPr>
        <w:keepNext/>
        <w:spacing w:before="280" w:after="100" w:line="264" w:lineRule="auto"/>
      </w:pPr>
      <w:r>
        <w:rPr>
          <w:rFonts w:ascii="Marcellus" w:hAnsi="Marcellus" w:cs="Marcellus" w:eastAsia="Marcellus"/>
          <w:color w:val="221913"/>
          <w:sz w:val="28"/>
        </w:rPr>
        <w:t>6. Anti-bribery</w:t>
      </w:r>
    </w:p>
    <w:p>
      <w:pPr>
        <w:spacing w:before="0" w:after="120" w:line="312" w:lineRule="auto"/>
      </w:pPr>
      <w:r>
        <w:rPr>
          <w:rFonts w:ascii="Jost" w:hAnsi="Jost" w:cs="Jost" w:eastAsia="Jost"/>
          <w:b w:val="0"/>
          <w:i w:val="0"/>
          <w:color w:val="4A3A2C"/>
          <w:sz w:val="20"/>
        </w:rPr>
        <w:t>The company prohibits bribery in any form.</w:t>
      </w:r>
    </w:p>
    <w:p>
      <w:pPr>
        <w:pStyle w:val="ListBullet"/>
        <w:spacing w:before="0" w:after="60" w:line="300" w:lineRule="auto"/>
      </w:pPr>
      <w:r>
        <w:rPr>
          <w:rFonts w:ascii="Jost" w:hAnsi="Jost" w:cs="Jost" w:eastAsia="Jost"/>
          <w:b w:val="0"/>
          <w:i w:val="0"/>
          <w:color w:val="4A3A2C"/>
          <w:sz w:val="20"/>
        </w:rPr>
        <w:t>You must not offer, promise, give, request or accept any payment, gift or advantage to improperly influence a decision.</w:t>
      </w:r>
    </w:p>
    <w:p>
      <w:pPr>
        <w:pStyle w:val="ListBullet"/>
        <w:spacing w:before="0" w:after="60" w:line="300" w:lineRule="auto"/>
      </w:pPr>
      <w:r>
        <w:rPr>
          <w:rFonts w:ascii="Jost" w:hAnsi="Jost" w:cs="Jost" w:eastAsia="Jost"/>
          <w:b w:val="0"/>
          <w:i w:val="0"/>
          <w:color w:val="4A3A2C"/>
          <w:sz w:val="20"/>
        </w:rPr>
        <w:t>This includes officials at licensing authorities, the Dubai Health Authority, Dubai Municipality, Dubai Civil Defence, MOHRE, immigration and free-zone or mainland departments. Never offer anything to speed up a licence, inspection, visa or approval.</w:t>
      </w:r>
    </w:p>
    <w:p>
      <w:pPr>
        <w:pStyle w:val="ListBullet"/>
        <w:spacing w:before="0" w:after="60" w:line="300" w:lineRule="auto"/>
      </w:pPr>
      <w:r>
        <w:rPr>
          <w:rFonts w:ascii="Jost" w:hAnsi="Jost" w:cs="Jost" w:eastAsia="Jost"/>
          <w:b w:val="0"/>
          <w:i w:val="0"/>
          <w:color w:val="4A3A2C"/>
          <w:sz w:val="20"/>
        </w:rPr>
        <w:t>Facilitation payments ("speed money") are not permitted, even if small.</w:t>
      </w:r>
    </w:p>
    <w:p>
      <w:pPr>
        <w:pStyle w:val="ListBullet"/>
        <w:spacing w:before="0" w:after="60" w:line="300" w:lineRule="auto"/>
      </w:pPr>
      <w:r>
        <w:rPr>
          <w:rFonts w:ascii="Jost" w:hAnsi="Jost" w:cs="Jost" w:eastAsia="Jost"/>
          <w:b w:val="0"/>
          <w:i w:val="0"/>
          <w:color w:val="4A3A2C"/>
          <w:sz w:val="20"/>
        </w:rPr>
        <w:t>Only official government fees with an official receipt are paid.</w:t>
      </w:r>
    </w:p>
    <w:p>
      <w:pPr>
        <w:pStyle w:val="ListBullet"/>
        <w:spacing w:before="0" w:after="60" w:line="300" w:lineRule="auto"/>
      </w:pPr>
      <w:r>
        <w:rPr>
          <w:rFonts w:ascii="Jost" w:hAnsi="Jost" w:cs="Jost" w:eastAsia="Jost"/>
          <w:b w:val="0"/>
          <w:i w:val="0"/>
          <w:color w:val="4A3A2C"/>
          <w:sz w:val="20"/>
        </w:rPr>
        <w:t>Charitable donations or sponsorships in the company's name need Founder &amp; CEO approval.</w:t>
      </w:r>
    </w:p>
    <w:p>
      <w:pPr>
        <w:pStyle w:val="ListBullet"/>
        <w:spacing w:before="0" w:after="60" w:line="300" w:lineRule="auto"/>
      </w:pPr>
      <w:r>
        <w:rPr>
          <w:rFonts w:ascii="Jost" w:hAnsi="Jost" w:cs="Jost" w:eastAsia="Jost"/>
          <w:b w:val="0"/>
          <w:i w:val="0"/>
          <w:color w:val="4A3A2C"/>
          <w:sz w:val="20"/>
        </w:rPr>
        <w:t>Any request for a bribe must be refused and reported to the CEO immediately.</w:t>
      </w:r>
    </w:p>
    <w:p>
      <w:pPr>
        <w:spacing w:before="0" w:after="120" w:line="312" w:lineRule="auto"/>
      </w:pPr>
      <w:r>
        <w:rPr>
          <w:rFonts w:ascii="Jost" w:hAnsi="Jost" w:cs="Jost" w:eastAsia="Jost"/>
          <w:b w:val="0"/>
          <w:i w:val="0"/>
          <w:color w:val="4A3A2C"/>
          <w:sz w:val="20"/>
        </w:rPr>
        <w:t>Bribery is gross misconduct and may also be a criminal offence. The company will cooperate with authorities.</w:t>
      </w:r>
    </w:p>
    <w:p>
      <w:pPr>
        <w:keepNext/>
        <w:spacing w:before="280" w:after="100" w:line="264" w:lineRule="auto"/>
      </w:pPr>
      <w:r>
        <w:rPr>
          <w:rFonts w:ascii="Marcellus" w:hAnsi="Marcellus" w:cs="Marcellus" w:eastAsia="Marcellus"/>
          <w:color w:val="221913"/>
          <w:sz w:val="28"/>
        </w:rPr>
        <w:t>7. Personal relationships</w:t>
      </w:r>
    </w:p>
    <w:p>
      <w:pPr>
        <w:pStyle w:val="ListBullet"/>
        <w:spacing w:before="0" w:after="60" w:line="300" w:lineRule="auto"/>
      </w:pPr>
      <w:r>
        <w:rPr>
          <w:rFonts w:ascii="Jost" w:hAnsi="Jost" w:cs="Jost" w:eastAsia="Jost"/>
          <w:b w:val="0"/>
          <w:i w:val="0"/>
          <w:color w:val="4A3A2C"/>
          <w:sz w:val="20"/>
        </w:rPr>
        <w:t>Declare any family or romantic relationship with another team member, a supplier, or Elevé staff working with The Aura.</w:t>
      </w:r>
    </w:p>
    <w:p>
      <w:pPr>
        <w:pStyle w:val="ListBullet"/>
        <w:spacing w:before="0" w:after="60" w:line="300" w:lineRule="auto"/>
      </w:pPr>
      <w:r>
        <w:rPr>
          <w:rFonts w:ascii="Jost" w:hAnsi="Jost" w:cs="Jost" w:eastAsia="Jost"/>
          <w:b w:val="0"/>
          <w:i w:val="0"/>
          <w:color w:val="4A3A2C"/>
          <w:sz w:val="20"/>
        </w:rPr>
        <w:t>You must not manage, approve pay or leave for, or investigate, someone with whom you have a close personal relationship. The General Manager will adjust reporting lines.</w:t>
      </w:r>
    </w:p>
    <w:p>
      <w:pPr>
        <w:pStyle w:val="ListBullet"/>
        <w:spacing w:before="0" w:after="60" w:line="300" w:lineRule="auto"/>
      </w:pPr>
      <w:r>
        <w:rPr>
          <w:rFonts w:ascii="Jost" w:hAnsi="Jost" w:cs="Jost" w:eastAsia="Jost"/>
          <w:b w:val="0"/>
          <w:i w:val="0"/>
          <w:color w:val="4A3A2C"/>
          <w:sz w:val="20"/>
        </w:rPr>
        <w:t>Relationships with guests you serve are not permitted (AUR-POL-04). If you have a pre-existing relationship with a guest, declare it and another Host will be assigned.</w:t>
      </w:r>
    </w:p>
    <w:p>
      <w:pPr>
        <w:pStyle w:val="ListBullet"/>
        <w:spacing w:before="0" w:after="60" w:line="300" w:lineRule="auto"/>
      </w:pPr>
      <w:r>
        <w:rPr>
          <w:rFonts w:ascii="Jost" w:hAnsi="Jost" w:cs="Jost" w:eastAsia="Jost"/>
          <w:b w:val="0"/>
          <w:i w:val="0"/>
          <w:color w:val="4A3A2C"/>
          <w:sz w:val="20"/>
        </w:rPr>
        <w:t xml:space="preserve">Family and friends visiting as guests pay the standard rate of AED </w:t>
      </w:r>
      <w:r>
        <w:rPr>
          <w:rFonts w:ascii="Jost" w:hAnsi="Jost" w:cs="Jost" w:eastAsia="Jost"/>
          <w:b w:val="0"/>
          <w:i w:val="0"/>
          <w:color w:val="A6754C"/>
          <w:sz w:val="20"/>
        </w:rPr>
        <w:t>[___]</w:t>
      </w:r>
      <w:r>
        <w:rPr>
          <w:rFonts w:ascii="Jost" w:hAnsi="Jost" w:cs="Jost" w:eastAsia="Jost"/>
          <w:b w:val="0"/>
          <w:i w:val="0"/>
          <w:color w:val="4A3A2C"/>
          <w:sz w:val="20"/>
        </w:rPr>
        <w:t xml:space="preserve"> or use the staff benefit policy: </w:t>
      </w:r>
      <w:r>
        <w:rPr>
          <w:rFonts w:ascii="Jost" w:hAnsi="Jost" w:cs="Jost" w:eastAsia="Jost"/>
          <w:b w:val="0"/>
          <w:i w:val="0"/>
          <w:color w:val="A6754C"/>
          <w:sz w:val="20"/>
        </w:rPr>
        <w:t>[Staff and family benefit]</w:t>
      </w:r>
      <w:r>
        <w:rPr>
          <w:rFonts w:ascii="Jost" w:hAnsi="Jost" w:cs="Jost" w:eastAsia="Jost"/>
          <w:b w:val="0"/>
          <w:i w:val="0"/>
          <w:color w:val="4A3A2C"/>
          <w:sz w:val="20"/>
        </w:rPr>
        <w:t>. You may not process their booking or apply discounts yourself.</w:t>
      </w:r>
    </w:p>
    <w:p>
      <w:pPr>
        <w:keepNext/>
        <w:spacing w:before="280" w:after="100" w:line="264" w:lineRule="auto"/>
      </w:pPr>
      <w:r>
        <w:rPr>
          <w:rFonts w:ascii="Marcellus" w:hAnsi="Marcellus" w:cs="Marcellus" w:eastAsia="Marcellus"/>
          <w:color w:val="221913"/>
          <w:sz w:val="28"/>
        </w:rPr>
        <w:t>8. Outside work</w:t>
      </w:r>
    </w:p>
    <w:p>
      <w:pPr>
        <w:pStyle w:val="ListBullet"/>
        <w:spacing w:before="0" w:after="60" w:line="300" w:lineRule="auto"/>
      </w:pPr>
      <w:r>
        <w:rPr>
          <w:rFonts w:ascii="Jost" w:hAnsi="Jost" w:cs="Jost" w:eastAsia="Jost"/>
          <w:b w:val="0"/>
          <w:i w:val="0"/>
          <w:color w:val="4A3A2C"/>
          <w:sz w:val="20"/>
        </w:rPr>
        <w:t>Outside paid work requires written approval from the General Manager before you start. Approval will not be unreasonably withheld for work that does not compete or affect your rota.</w:t>
      </w:r>
    </w:p>
    <w:p>
      <w:pPr>
        <w:pStyle w:val="ListBullet"/>
        <w:spacing w:before="0" w:after="60" w:line="300" w:lineRule="auto"/>
      </w:pPr>
      <w:r>
        <w:rPr>
          <w:rFonts w:ascii="Jost" w:hAnsi="Jost" w:cs="Jost" w:eastAsia="Jost"/>
          <w:b/>
          <w:i w:val="0"/>
          <w:color w:val="4A3A2C"/>
          <w:sz w:val="20"/>
        </w:rPr>
        <w:t>Offering private sessions to guests is prohibited.</w:t>
      </w:r>
      <w:r>
        <w:rPr>
          <w:rFonts w:ascii="Jost" w:hAnsi="Jost" w:cs="Jost" w:eastAsia="Jost"/>
          <w:b w:val="0"/>
          <w:i w:val="0"/>
          <w:color w:val="4A3A2C"/>
          <w:sz w:val="20"/>
        </w:rPr>
        <w:t xml:space="preserve"> This includes breathwork, massage, coaching, energy work, home visits, or any wellness service offered to a person you met through The Aura, during or within </w:t>
      </w:r>
      <w:r>
        <w:rPr>
          <w:rFonts w:ascii="Jost" w:hAnsi="Jost" w:cs="Jost" w:eastAsia="Jost"/>
          <w:b w:val="0"/>
          <w:i w:val="0"/>
          <w:color w:val="A6754C"/>
          <w:sz w:val="20"/>
        </w:rPr>
        <w:t>[12]</w:t>
      </w:r>
      <w:r>
        <w:rPr>
          <w:rFonts w:ascii="Jost" w:hAnsi="Jost" w:cs="Jost" w:eastAsia="Jost"/>
          <w:b w:val="0"/>
          <w:i w:val="0"/>
          <w:color w:val="4A3A2C"/>
          <w:sz w:val="20"/>
        </w:rPr>
        <w:t xml:space="preserve"> months after your employment, paid or unpaid.</w:t>
      </w:r>
    </w:p>
    <w:p>
      <w:pPr>
        <w:pStyle w:val="ListBullet"/>
        <w:spacing w:before="0" w:after="60" w:line="300" w:lineRule="auto"/>
      </w:pPr>
      <w:r>
        <w:rPr>
          <w:rFonts w:ascii="Jost" w:hAnsi="Jost" w:cs="Jost" w:eastAsia="Jost"/>
          <w:b w:val="0"/>
          <w:i w:val="0"/>
          <w:color w:val="4A3A2C"/>
          <w:sz w:val="20"/>
        </w:rPr>
        <w:t>Do not use The Aura's name, client list, Elevé protocols, training materials or premises for outside work.</w:t>
      </w:r>
    </w:p>
    <w:p>
      <w:pPr>
        <w:pStyle w:val="ListBullet"/>
        <w:spacing w:before="0" w:after="60" w:line="300" w:lineRule="auto"/>
      </w:pPr>
      <w:r>
        <w:rPr>
          <w:rFonts w:ascii="Jost" w:hAnsi="Jost" w:cs="Jost" w:eastAsia="Jost"/>
          <w:b w:val="0"/>
          <w:i w:val="0"/>
          <w:color w:val="4A3A2C"/>
          <w:sz w:val="20"/>
        </w:rPr>
        <w:t>Do not recruit guests or members to another studio or business.</w:t>
      </w:r>
    </w:p>
    <w:p>
      <w:pPr>
        <w:pStyle w:val="ListBullet"/>
        <w:spacing w:before="0" w:after="60" w:line="300" w:lineRule="auto"/>
      </w:pPr>
      <w:r>
        <w:rPr>
          <w:rFonts w:ascii="Jost" w:hAnsi="Jost" w:cs="Jost" w:eastAsia="Jost"/>
          <w:b w:val="0"/>
          <w:i w:val="0"/>
          <w:color w:val="4A3A2C"/>
          <w:sz w:val="20"/>
        </w:rPr>
        <w:t>Teaching, writing or speaking about wellness in a personal capacity needs approval if it refers to The Aura (see AUR-POL-06).</w:t>
      </w:r>
    </w:p>
    <w:p>
      <w:pPr>
        <w:keepNext/>
        <w:spacing w:before="280" w:after="100" w:line="264" w:lineRule="auto"/>
      </w:pPr>
      <w:r>
        <w:rPr>
          <w:rFonts w:ascii="Marcellus" w:hAnsi="Marcellus" w:cs="Marcellus" w:eastAsia="Marcellus"/>
          <w:color w:val="221913"/>
          <w:sz w:val="28"/>
        </w:rPr>
        <w:t>9. Declaring</w:t>
      </w:r>
    </w:p>
    <w:p>
      <w:pPr>
        <w:spacing w:before="0" w:after="120" w:line="312" w:lineRule="auto"/>
      </w:pPr>
      <w:r>
        <w:rPr>
          <w:rFonts w:ascii="Jost" w:hAnsi="Jost" w:cs="Jost" w:eastAsia="Jost"/>
          <w:b w:val="0"/>
          <w:i w:val="0"/>
          <w:color w:val="4A3A2C"/>
          <w:sz w:val="20"/>
        </w:rPr>
        <w:t xml:space="preserve">Declare any actual, potential or perceived conflict, gift or hospitality on the form below, within 2 working days. All staff also complete an annual declaration each </w:t>
      </w:r>
      <w:r>
        <w:rPr>
          <w:rFonts w:ascii="Jost" w:hAnsi="Jost" w:cs="Jost" w:eastAsia="Jost"/>
          <w:b w:val="0"/>
          <w:i w:val="0"/>
          <w:color w:val="A6754C"/>
          <w:sz w:val="20"/>
        </w:rPr>
        <w:t>[Month]</w:t>
      </w:r>
      <w:r>
        <w:rPr>
          <w:rFonts w:ascii="Jost" w:hAnsi="Jost" w:cs="Jost" w:eastAsia="Jost"/>
          <w:b w:val="0"/>
          <w:i w:val="0"/>
          <w:color w:val="4A3A2C"/>
          <w:sz w:val="20"/>
        </w:rPr>
        <w:t>, even if the answer is "nothing to declare". The General Manager keeps the register; the CEO reviews it quarterly.</w:t>
      </w:r>
    </w:p>
    <w:p>
      <w:r>
        <w:br w:type="page"/>
      </w:r>
    </w:p>
    <w:p>
      <w:pPr>
        <w:keepNext/>
        <w:spacing w:before="280" w:after="100" w:line="264" w:lineRule="auto"/>
      </w:pPr>
      <w:r>
        <w:rPr>
          <w:rFonts w:ascii="Marcellus" w:hAnsi="Marcellus" w:cs="Marcellus" w:eastAsia="Marcellus"/>
          <w:color w:val="221913"/>
          <w:sz w:val="28"/>
        </w:rPr>
        <w:t>10. Declaration form</w:t>
      </w:r>
    </w:p>
    <w:p>
      <w:pPr>
        <w:spacing w:before="0" w:after="120" w:line="312" w:lineRule="auto"/>
      </w:pPr>
      <w:r>
        <w:rPr>
          <w:rFonts w:ascii="Jost" w:hAnsi="Jost" w:cs="Jost" w:eastAsia="Jost"/>
          <w:b/>
          <w:i w:val="0"/>
          <w:color w:val="4A3A2C"/>
          <w:sz w:val="20"/>
        </w:rPr>
        <w:t>Section A — Your details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Entry</w:t>
            </w:r>
          </w:p>
        </w:tc>
      </w:tr>
      <w:tr>
        <w:tc>
          <w:tcPr>
            <w:tcW w:type="dxa" w:w="4706"/>
          </w:tcPr>
          <w:p>
            <w:pPr>
              <w:spacing w:before="40" w:after="40" w:line="276" w:lineRule="auto"/>
            </w:pPr>
            <w:r>
              <w:rPr>
                <w:rFonts w:ascii="Jost" w:hAnsi="Jost" w:cs="Jost" w:eastAsia="Jost"/>
                <w:b w:val="0"/>
                <w:i w:val="0"/>
                <w:color w:val="4A3A2C"/>
                <w:sz w:val="17"/>
              </w:rPr>
              <w:t>Name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Role</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Date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Type of declaration</w:t>
            </w:r>
          </w:p>
        </w:tc>
        <w:tc>
          <w:tcPr>
            <w:tcW w:type="dxa" w:w="4706"/>
            <w:shd w:val="clear" w:color="auto" w:fill="FBF5EE"/>
          </w:tcPr>
          <w:p>
            <w:pPr>
              <w:spacing w:before="40" w:after="40" w:line="276" w:lineRule="auto"/>
            </w:pPr>
            <w:r>
              <w:rPr>
                <w:rFonts w:ascii="Jost" w:hAnsi="Jost" w:cs="Jost" w:eastAsia="Jost"/>
                <w:b w:val="0"/>
                <w:i w:val="0"/>
                <w:color w:val="4A3A2C"/>
                <w:sz w:val="17"/>
              </w:rPr>
              <w:t>☐ Conflict of interest ☐ Gift / hospitality ☐ Personal relationship ☐ Outside work ☐ Annual declaration</w:t>
            </w:r>
          </w:p>
        </w:tc>
      </w:tr>
    </w:tbl>
    <w:p>
      <w:pPr>
        <w:spacing w:before="0" w:after="80" w:line="240" w:lineRule="auto"/>
      </w:pPr>
    </w:p>
    <w:p>
      <w:pPr>
        <w:spacing w:before="0" w:after="120" w:line="312" w:lineRule="auto"/>
      </w:pPr>
      <w:r>
        <w:rPr>
          <w:rFonts w:ascii="Jost" w:hAnsi="Jost" w:cs="Jost" w:eastAsia="Jost"/>
          <w:b/>
          <w:i w:val="0"/>
          <w:color w:val="4A3A2C"/>
          <w:sz w:val="20"/>
        </w:rPr>
        <w:t>Section B — Details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Question</w:t>
            </w:r>
          </w:p>
        </w:tc>
        <w:tc>
          <w:tcPr>
            <w:tcW w:type="dxa" w:w="4706"/>
            <w:shd w:val="clear" w:color="auto" w:fill="221913"/>
          </w:tcPr>
          <w:p>
            <w:pPr>
              <w:spacing w:before="40" w:after="40" w:line="276" w:lineRule="auto"/>
            </w:pPr>
            <w:r>
              <w:rPr>
                <w:rFonts w:ascii="Jost" w:hAnsi="Jost" w:cs="Jost" w:eastAsia="Jost"/>
                <w:b/>
                <w:i w:val="0"/>
                <w:color w:val="FBF5EE"/>
                <w:sz w:val="17"/>
              </w:rPr>
              <w:t>Answer</w:t>
            </w:r>
          </w:p>
        </w:tc>
      </w:tr>
      <w:tr>
        <w:tc>
          <w:tcPr>
            <w:tcW w:type="dxa" w:w="4706"/>
          </w:tcPr>
          <w:p>
            <w:pPr>
              <w:spacing w:before="40" w:after="40" w:line="276" w:lineRule="auto"/>
            </w:pPr>
            <w:r>
              <w:rPr>
                <w:rFonts w:ascii="Jost" w:hAnsi="Jost" w:cs="Jost" w:eastAsia="Jost"/>
                <w:b w:val="0"/>
                <w:i w:val="0"/>
                <w:color w:val="4A3A2C"/>
                <w:sz w:val="17"/>
              </w:rPr>
              <w:t>Who is involved (person / company)</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Relationship to you</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Description of the conflict, gift or activity</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Estimated value (if gift or hospitality)</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Date offered / started</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Accepted, declined or proposed</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spacing w:before="0" w:after="120" w:line="312" w:lineRule="auto"/>
      </w:pPr>
      <w:r>
        <w:rPr>
          <w:rFonts w:ascii="Jost" w:hAnsi="Jost" w:cs="Jost" w:eastAsia="Jost"/>
          <w:b/>
          <w:i w:val="0"/>
          <w:color w:val="4A3A2C"/>
          <w:sz w:val="20"/>
        </w:rPr>
        <w:t>Section C — Annual declaration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Statement</w:t>
            </w:r>
          </w:p>
        </w:tc>
        <w:tc>
          <w:tcPr>
            <w:tcW w:type="dxa" w:w="3137"/>
            <w:shd w:val="clear" w:color="auto" w:fill="221913"/>
          </w:tcPr>
          <w:p>
            <w:pPr>
              <w:spacing w:before="40" w:after="40" w:line="276" w:lineRule="auto"/>
            </w:pPr>
            <w:r>
              <w:rPr>
                <w:rFonts w:ascii="Jost" w:hAnsi="Jost" w:cs="Jost" w:eastAsia="Jost"/>
                <w:b/>
                <w:i w:val="0"/>
                <w:color w:val="FBF5EE"/>
                <w:sz w:val="17"/>
              </w:rPr>
              <w:t>Yes</w:t>
            </w:r>
          </w:p>
        </w:tc>
        <w:tc>
          <w:tcPr>
            <w:tcW w:type="dxa" w:w="3137"/>
            <w:shd w:val="clear" w:color="auto" w:fill="221913"/>
          </w:tcPr>
          <w:p>
            <w:pPr>
              <w:spacing w:before="40" w:after="40" w:line="276" w:lineRule="auto"/>
            </w:pPr>
            <w:r>
              <w:rPr>
                <w:rFonts w:ascii="Jost" w:hAnsi="Jost" w:cs="Jost" w:eastAsia="Jost"/>
                <w:b/>
                <w:i w:val="0"/>
                <w:color w:val="FBF5EE"/>
                <w:sz w:val="17"/>
              </w:rPr>
              <w:t>No</w:t>
            </w:r>
          </w:p>
        </w:tc>
      </w:tr>
      <w:tr>
        <w:tc>
          <w:tcPr>
            <w:tcW w:type="dxa" w:w="3137"/>
          </w:tcPr>
          <w:p>
            <w:pPr>
              <w:spacing w:before="40" w:after="40" w:line="276" w:lineRule="auto"/>
            </w:pPr>
            <w:r>
              <w:rPr>
                <w:rFonts w:ascii="Jost" w:hAnsi="Jost" w:cs="Jost" w:eastAsia="Jost"/>
                <w:b w:val="0"/>
                <w:i w:val="0"/>
                <w:color w:val="4A3A2C"/>
                <w:sz w:val="17"/>
              </w:rPr>
              <w:t>I have no undeclared conflicts of interest</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w:t>
            </w:r>
          </w:p>
        </w:tc>
      </w:tr>
      <w:tr>
        <w:tc>
          <w:tcPr>
            <w:tcW w:type="dxa" w:w="3137"/>
            <w:shd w:val="clear" w:color="auto" w:fill="FBF5EE"/>
          </w:tcPr>
          <w:p>
            <w:pPr>
              <w:spacing w:before="40" w:after="40" w:line="276" w:lineRule="auto"/>
            </w:pPr>
            <w:r>
              <w:rPr>
                <w:rFonts w:ascii="Jost" w:hAnsi="Jost" w:cs="Jost" w:eastAsia="Jost"/>
                <w:b w:val="0"/>
                <w:i w:val="0"/>
                <w:color w:val="4A3A2C"/>
                <w:sz w:val="17"/>
              </w:rPr>
              <w:t>I have declared all gifts and hospitality above the threshold</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r>
      <w:tr>
        <w:tc>
          <w:tcPr>
            <w:tcW w:type="dxa" w:w="3137"/>
          </w:tcPr>
          <w:p>
            <w:pPr>
              <w:spacing w:before="40" w:after="40" w:line="276" w:lineRule="auto"/>
            </w:pPr>
            <w:r>
              <w:rPr>
                <w:rFonts w:ascii="Jost" w:hAnsi="Jost" w:cs="Jost" w:eastAsia="Jost"/>
                <w:b w:val="0"/>
                <w:i w:val="0"/>
                <w:color w:val="4A3A2C"/>
                <w:sz w:val="17"/>
              </w:rPr>
              <w:t>I do not offer private sessions to guests or former guests</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w:t>
            </w:r>
          </w:p>
        </w:tc>
      </w:tr>
      <w:tr>
        <w:tc>
          <w:tcPr>
            <w:tcW w:type="dxa" w:w="3137"/>
            <w:shd w:val="clear" w:color="auto" w:fill="FBF5EE"/>
          </w:tcPr>
          <w:p>
            <w:pPr>
              <w:spacing w:before="40" w:after="40" w:line="276" w:lineRule="auto"/>
            </w:pPr>
            <w:r>
              <w:rPr>
                <w:rFonts w:ascii="Jost" w:hAnsi="Jost" w:cs="Jost" w:eastAsia="Jost"/>
                <w:b w:val="0"/>
                <w:i w:val="0"/>
                <w:color w:val="4A3A2C"/>
                <w:sz w:val="17"/>
              </w:rPr>
              <w:t>I have no undeclared outside work</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r>
    </w:tbl>
    <w:p>
      <w:pPr>
        <w:spacing w:before="0" w:after="80" w:line="240" w:lineRule="auto"/>
      </w:pPr>
    </w:p>
    <w:p>
      <w:pPr>
        <w:spacing w:before="0" w:after="120" w:line="312" w:lineRule="auto"/>
      </w:pPr>
      <w:r>
        <w:rPr>
          <w:rFonts w:ascii="Jost" w:hAnsi="Jost" w:cs="Jost" w:eastAsia="Jost"/>
          <w:b/>
          <w:i w:val="0"/>
          <w:color w:val="4A3A2C"/>
          <w:sz w:val="20"/>
        </w:rPr>
        <w:t>Section D — Management decision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Field</w:t>
            </w:r>
          </w:p>
        </w:tc>
        <w:tc>
          <w:tcPr>
            <w:tcW w:type="dxa" w:w="4706"/>
            <w:shd w:val="clear" w:color="auto" w:fill="221913"/>
          </w:tcPr>
          <w:p>
            <w:pPr>
              <w:spacing w:before="40" w:after="40" w:line="276" w:lineRule="auto"/>
            </w:pPr>
            <w:r>
              <w:rPr>
                <w:rFonts w:ascii="Jost" w:hAnsi="Jost" w:cs="Jost" w:eastAsia="Jost"/>
                <w:b/>
                <w:i w:val="0"/>
                <w:color w:val="FBF5EE"/>
                <w:sz w:val="17"/>
              </w:rPr>
              <w:t>Entry</w:t>
            </w:r>
          </w:p>
        </w:tc>
      </w:tr>
      <w:tr>
        <w:tc>
          <w:tcPr>
            <w:tcW w:type="dxa" w:w="4706"/>
          </w:tcPr>
          <w:p>
            <w:pPr>
              <w:spacing w:before="40" w:after="40" w:line="276" w:lineRule="auto"/>
            </w:pPr>
            <w:r>
              <w:rPr>
                <w:rFonts w:ascii="Jost" w:hAnsi="Jost" w:cs="Jost" w:eastAsia="Jost"/>
                <w:b w:val="0"/>
                <w:i w:val="0"/>
                <w:color w:val="4A3A2C"/>
                <w:sz w:val="17"/>
              </w:rPr>
              <w:t>Decision</w:t>
            </w:r>
          </w:p>
        </w:tc>
        <w:tc>
          <w:tcPr>
            <w:tcW w:type="dxa" w:w="4706"/>
          </w:tcPr>
          <w:p>
            <w:pPr>
              <w:spacing w:before="40" w:after="40" w:line="276" w:lineRule="auto"/>
            </w:pPr>
            <w:r>
              <w:rPr>
                <w:rFonts w:ascii="Jost" w:hAnsi="Jost" w:cs="Jost" w:eastAsia="Jost"/>
                <w:b w:val="0"/>
                <w:i w:val="0"/>
                <w:color w:val="4A3A2C"/>
                <w:sz w:val="17"/>
              </w:rPr>
              <w:t>☐ Approved ☐ Approved with conditions ☐ Not approved ☐ Gift returned ☐ Gift shared with team</w:t>
            </w:r>
          </w:p>
        </w:tc>
      </w:tr>
      <w:tr>
        <w:tc>
          <w:tcPr>
            <w:tcW w:type="dxa" w:w="4706"/>
            <w:shd w:val="clear" w:color="auto" w:fill="FBF5EE"/>
          </w:tcPr>
          <w:p>
            <w:pPr>
              <w:spacing w:before="40" w:after="40" w:line="276" w:lineRule="auto"/>
            </w:pPr>
            <w:r>
              <w:rPr>
                <w:rFonts w:ascii="Jost" w:hAnsi="Jost" w:cs="Jost" w:eastAsia="Jost"/>
                <w:b w:val="0"/>
                <w:i w:val="0"/>
                <w:color w:val="4A3A2C"/>
                <w:sz w:val="17"/>
              </w:rPr>
              <w:t>Conditions / actions</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Reviewed by (General Manager / CEO)</w:t>
            </w:r>
          </w:p>
        </w:tc>
        <w:tc>
          <w:tcPr>
            <w:tcW w:type="dxa" w:w="4706"/>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AUR-POL-05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of Interest, Gifts &amp; Anti-Bribery</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