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Marcellus" w:hAnsi="Marcellus" w:cs="Marcellus" w:eastAsia="Marcellus"/>
          <w:color w:val="221913"/>
          <w:sz w:val="44"/>
        </w:rPr>
        <w:t>Sound Healing Sessions — Treatment SOP</w:t>
      </w:r>
    </w:p>
    <w:p>
      <w:pPr>
        <w:spacing w:before="0" w:after="280" w:line="264" w:lineRule="auto"/>
        <w:pBdr>
          <w:bottom w:val="single" w:sz="6" w:space="8" w:color="A6754C"/>
        </w:pBdr>
      </w:pPr>
      <w:r>
        <w:rPr>
          <w:rFonts w:ascii="Jost" w:hAnsi="Jost" w:cs="Jost" w:eastAsia="Jost"/>
          <w:b w:val="0"/>
          <w:i w:val="0"/>
          <w:color w:val="7A6753"/>
          <w:sz w:val="16"/>
        </w:rPr>
        <w:t xml:space="preserve">Document No. AUR-TRT-10 · Version 0.1 (Draft) · Owner: General Manager · Effective: </w:t>
      </w:r>
      <w:r>
        <w:rPr>
          <w:rFonts w:ascii="Jost" w:hAnsi="Jost" w:cs="Jost" w:eastAsia="Jost"/>
          <w:b w:val="0"/>
          <w:i w:val="0"/>
          <w:color w:val="A6754C"/>
          <w:sz w:val="16"/>
        </w:rPr>
        <w:t>[Date]</w:t>
      </w:r>
    </w:p>
    <w:p>
      <w:pPr>
        <w:shd w:val="clear" w:color="auto" w:fill="FBF5EE"/>
        <w:pBdr>
          <w:left w:val="single" w:sz="18" w:space="8" w:color="A6754C"/>
        </w:pBdr>
        <w:spacing w:before="80" w:after="160" w:line="300" w:lineRule="auto"/>
        <w:ind w:left="170"/>
      </w:pPr>
      <w:r>
        <w:rPr>
          <w:rFonts w:ascii="Jost" w:hAnsi="Jost" w:cs="Jost" w:eastAsia="Jost"/>
          <w:b w:val="0"/>
          <w:i w:val="0"/>
          <w:color w:val="4A3A2C"/>
          <w:sz w:val="18"/>
        </w:rPr>
        <w:t>The instrument list, session length, group size and volume limits for Sound Healing are not yet confirmed. Screen with AUR-FRM-03 section 10 and the universal checks, together with section 4 of this SOP.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1. Purpose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Sound Healing is a facilitator-led session, offered 1:1 or in a small group. The guest rests while a facilitator plays instruments such as singing bowls and gongs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[confirm instruments]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 Slow, layered sound invites the nervous system to settle and supports the energy-healing side of a guest's programme. It is a wellness practice, not a treatment for any medical or hearing condition. It is often the closing step of a visit.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2. Who may deliver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A sound healing facilitator approved by the General Manager. This may be a Healer or a Host with sound healing training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[training / qualification — confirm]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Group sessions: one facilitator for up to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[__]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guests.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The facilitator holds current first aid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[certificate ref.]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If the facilitator is one of the two Hosts on shift, the other Host covers the floor. Do not schedule Host-guided modalities that need the facilitator during the session (see AUR-TRT-11).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3. Equipment and settings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Item</w:t>
            </w:r>
          </w:p>
        </w:tc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Setting / detail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Room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[Sound / studio room name]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Format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1:1 or group of up to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 guests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Session length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 min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[confirm]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Instruments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Singing bowls, gongs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[confirm]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; other instruments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[confirm]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Volume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Maximum level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 dB at the guest's head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[to be set; check with a sound-level meter]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Distance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Gongs and large bowls at least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 m from any guest's head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On-body bowls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Only with the guest's consent; never on a pregnant guest's abdomen, never over an implanted device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Per guest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Mat, bolster, blanket, eye pillow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[confirm items]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; Aura-branded towel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Guest wear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Aura-branded clothing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4. Contraindications summary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Check the universal checks in AUR-FRM-03 and ask about the following.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Category</w:t>
            </w:r>
          </w:p>
        </w:tc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Item</w:t>
            </w:r>
          </w:p>
        </w:tc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Action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Medical clearance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Epilepsy or seizure history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Clearance before first session; quieter, steadier sound; no sudden loud strikes</w:t>
            </w:r>
          </w:p>
        </w:tc>
      </w:tr>
      <w:tr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Adapt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Sound sensitivity, hyperacusis, tinnitus, misophonia or migraine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Lower volume; no gong or a soft gong only; place guest furthest from instruments; ear plugs offered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Adapt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Pregnancy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No instruments placed on the body; gentle volume; guest's doctor's advice if in doubt</w:t>
            </w:r>
          </w:p>
        </w:tc>
      </w:tr>
      <w:tr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Adapt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Hearing aids or cochlear implants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Guest chooses to keep in, turn down or remove; warn of possible feedback whistle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Adapt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Pacemaker or other implanted device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No on-body instruments; guest's doctor's advice if in doubt</w:t>
            </w:r>
          </w:p>
        </w:tc>
      </w:tr>
      <w:tr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Adapt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PTSD, trauma or anxiety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Explain sounds first; avoid sudden loud strikes; guest may keep eyes open and sit up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Do not proceed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Acute illness, fever or feeling very unwell today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Rebook</w:t>
            </w:r>
          </w:p>
        </w:tc>
      </w:tr>
    </w:tbl>
    <w:p>
      <w:pPr>
        <w:spacing w:before="0" w:after="80" w:line="240" w:lineRule="auto"/>
      </w:pPr>
    </w:p>
    <w:p>
      <w:pPr>
        <w:shd w:val="clear" w:color="auto" w:fill="FBF5EE"/>
        <w:pBdr>
          <w:left w:val="single" w:sz="18" w:space="8" w:color="A6754C"/>
        </w:pBdr>
        <w:spacing w:before="80" w:after="160" w:line="300" w:lineRule="auto"/>
        <w:ind w:left="170"/>
      </w:pPr>
      <w:r>
        <w:rPr>
          <w:rFonts w:ascii="Jost" w:hAnsi="Jost" w:cs="Jost" w:eastAsia="Jost"/>
          <w:b w:val="0"/>
          <w:i w:val="0"/>
          <w:color w:val="4A3A2C"/>
          <w:sz w:val="18"/>
        </w:rPr>
        <w:t xml:space="preserve">Refer questions to the Senior Host on shift, then the General Manager, who may consult the </w:t>
      </w:r>
      <w:r>
        <w:rPr>
          <w:rFonts w:ascii="Jost" w:hAnsi="Jost" w:cs="Jost" w:eastAsia="Jost"/>
          <w:b w:val="0"/>
          <w:i w:val="0"/>
          <w:color w:val="A6754C"/>
          <w:sz w:val="18"/>
        </w:rPr>
        <w:t>[Medical Director named on the licence]</w:t>
      </w:r>
      <w:r>
        <w:rPr>
          <w:rFonts w:ascii="Jost" w:hAnsi="Jost" w:cs="Jost" w:eastAsia="Jost"/>
          <w:b w:val="0"/>
          <w:i w:val="0"/>
          <w:color w:val="4A3A2C"/>
          <w:sz w:val="18"/>
        </w:rPr>
        <w:t>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5. Room preparation checklist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☐</w:t>
            </w:r>
          </w:p>
        </w:tc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Check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Room clean; floor clear (AUR-SAF-02)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Mats set out with space between guests and safe distance from instruments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Instruments checked: no cracks; stands and gong frames stable and secured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Mallets and strikers clean and in place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Sound-level check done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 dB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Fresh towels and eye-pillow covers; blankets ready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Ear plugs available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Screening flags for every booked guest noted on the facilitator's sheet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Lighting dim but safe; exit route clear; AED location known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[AED location]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6. Guest preparation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1.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Ask about hearing, sound sensitivity, epilepsy, pregnancy and implanted devices.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2.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Explain the instruments and that some sounds will be deep and felt in the body.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3.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Agree whether any bowl may be placed on or near the body (1:1 only, with consent).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4.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Make clear the guest may sit up, open their eyes, use ear plugs or leave at any time.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5.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Show the quiet signal: a raised hand.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7. Step-by-step delivery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1.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Welcome and settle. Begin with the Aura ritual.</w:t>
      </w:r>
    </w:p>
    <w:p>
      <w:pPr>
        <w:pStyle w:val="ListBullet2"/>
        <w:spacing w:before="0" w:after="60" w:line="300" w:lineRule="auto"/>
      </w:pPr>
      <w:r>
        <w:rPr>
          <w:rFonts w:ascii="Jost" w:hAnsi="Jost" w:cs="Jost" w:eastAsia="Jost"/>
          <w:b w:val="0"/>
          <w:i/>
          <w:color w:val="4A3A2C"/>
          <w:sz w:val="20"/>
        </w:rPr>
        <w:t>"Let your body find the mat. In for four, out for six."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2.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Set expectations.</w:t>
      </w:r>
    </w:p>
    <w:p>
      <w:pPr>
        <w:pStyle w:val="ListBullet2"/>
        <w:spacing w:before="0" w:after="60" w:line="300" w:lineRule="auto"/>
      </w:pPr>
      <w:r>
        <w:rPr>
          <w:rFonts w:ascii="Jost" w:hAnsi="Jost" w:cs="Jost" w:eastAsia="Jost"/>
          <w:b w:val="0"/>
          <w:i/>
          <w:color w:val="4A3A2C"/>
          <w:sz w:val="20"/>
        </w:rPr>
        <w:t>"You may hear deep tones, and feel some of them in your body. If anything is too much, raise your hand and I'll soften it."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3.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Opening, quiet sound only, about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[___]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min.</w:t>
      </w:r>
    </w:p>
    <w:p>
      <w:pPr>
        <w:pStyle w:val="ListBullet2"/>
        <w:spacing w:before="0" w:after="60" w:line="300" w:lineRule="auto"/>
      </w:pPr>
      <w:r>
        <w:rPr>
          <w:rFonts w:ascii="Jost" w:hAnsi="Jost" w:cs="Jost" w:eastAsia="Jost"/>
          <w:b w:val="0"/>
          <w:i/>
          <w:color w:val="4A3A2C"/>
          <w:sz w:val="20"/>
        </w:rPr>
        <w:t>"There's nothing to do. Let the sound move around you."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4.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Main journey, about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[___]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min. Build volume slowly. Never strike a gong loudly without a gentle build.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5.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Watch guests throughout. Respond at once to any signal by softening or pausing.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6.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Close with fading sound, then silence, about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[___]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min.</w:t>
      </w:r>
    </w:p>
    <w:p>
      <w:pPr>
        <w:pStyle w:val="ListBullet2"/>
        <w:spacing w:before="0" w:after="60" w:line="300" w:lineRule="auto"/>
      </w:pPr>
      <w:r>
        <w:rPr>
          <w:rFonts w:ascii="Jost" w:hAnsi="Jost" w:cs="Jost" w:eastAsia="Jost"/>
          <w:b w:val="0"/>
          <w:i/>
          <w:color w:val="4A3A2C"/>
          <w:sz w:val="20"/>
        </w:rPr>
        <w:t>"Rest in the quiet. Notice what remains."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7.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Return slowly. Lights up gradually.</w:t>
      </w:r>
    </w:p>
    <w:p>
      <w:pPr>
        <w:pStyle w:val="ListBullet2"/>
        <w:spacing w:before="0" w:after="60" w:line="300" w:lineRule="auto"/>
      </w:pPr>
      <w:r>
        <w:rPr>
          <w:rFonts w:ascii="Jost" w:hAnsi="Jost" w:cs="Jost" w:eastAsia="Jost"/>
          <w:b w:val="0"/>
          <w:i/>
          <w:color w:val="4A3A2C"/>
          <w:sz w:val="20"/>
        </w:rPr>
        <w:t>"Begin to move gently. Roll onto your side when you're ready. Take all the time you need."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8. Monitoring and stop criteria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Stop or soften the sound, and check on the guest, if they: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signal, ask to stop, cover their ears or appear distressed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report pain in the ears, ringing that grows, headache, dizziness or nausea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show any sign of a seizure or unusual movement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become strongly emotional and wish to sit up or leave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If a seizure occurs, stop all sound at once and follow section 12. Note every reaction on the session log.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9. Post-session care, refreshments and suggested combinations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Guests sit quietly for a few minutes before standing.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Offer water or herbal tea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[menu to confirm]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Ask one gentle question: </w:t>
      </w:r>
      <w:r>
        <w:rPr>
          <w:rFonts w:ascii="Jost" w:hAnsi="Jost" w:cs="Jost" w:eastAsia="Jost"/>
          <w:b w:val="0"/>
          <w:i/>
          <w:color w:val="4A3A2C"/>
          <w:sz w:val="20"/>
        </w:rPr>
        <w:t>"How does your body feel now?"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With consent, share notes with the guest's Healer.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Suggested combinations (see AUR-TRT-11):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Any sequence → Sound Healing, as the closing step of a visit.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Dry Float Bed → Sound Healing, for sleep.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Guided Breathwork → Sound Healing, for calm.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10. Cleaning and reset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Follow AUR-SAF-02.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1.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Bag used towels, blanket covers and eye-pillow covers for the in-house laundry.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2.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Wipe mats and bolsters with the approved surface product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[product — to be confirmed]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3.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Wipe any bowl that touched a guest's body or clothing, as advised by the instrument maker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[care instructions — to be confirmed]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 Dry fully.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4.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Store instruments safely; secure gongs on their frames.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5.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Sign the room off.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11. If equipment faults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If an instrument cracks, a stand or frame becomes unstable, or lighting or air-conditioning fails, stop that instrument and move guests clear if needed. Continue with other instruments only if safe, or close the session calmly. Report under the Equipment Fault &amp; Out-of-Service Procedure (AUR-SOP-09) and tell the Senior Host. A falling gong is a serious injury risk. Never use an unstable frame.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12. Emergency actions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Follow AUR-SAF-04.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Seizure: stop all sound, protect the head, move objects and instruments away, do not restrain, time the seizure; call 998 and follow section 4.11.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Faint or unwell: section 4.1.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Injury from a falling instrument: section 4.6; call 998 for any head injury.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Fire alarm: section 4.7. Guide guests out calmly; count everyone out.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In a group, the facilitator stays with the person affected. The second Host calls 998 and cares for the rest of the group.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Complete an Incident Report Form (AUR-SAF-04, section 7) for every incident or near miss.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13. Records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Record</w:t>
            </w:r>
          </w:p>
        </w:tc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Where it is kept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Screening notes for each guest (AUR-FRM-03 universal checks plus section 4 above)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Guest file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[Booking system — to be chosen]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Session log: date, format, facilitator, guests, instruments used, volume check, reactions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Session log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Instrument and frame checks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Maintenance log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Cleaning sign-off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AUR-SAF-02, section 9.3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Incidents and near misses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AUR-SAF-04 Incident Report Form</w:t>
            </w:r>
          </w:p>
        </w:tc>
      </w:tr>
    </w:tbl>
    <w:p>
      <w:pPr>
        <w:spacing w:before="0" w:after="80" w:line="240" w:lineRule="auto"/>
      </w:pP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All guest information is handled under AUR-SAF-03 and the UAE Personal Data Protection Law.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2041" w:right="1247" w:bottom="1474" w:left="1247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64" w:lineRule="auto"/>
      <w:jc w:val="center"/>
      <w:pBdr>
        <w:top w:val="single" w:sz="4" w:space="6" w:color="DCC6B0"/>
      </w:pBdr>
    </w:pPr>
    <w:r>
      <w:rPr>
        <w:rFonts w:ascii="Jost" w:hAnsi="Jost" w:cs="Jost" w:eastAsia="Jost"/>
        <w:b w:val="0"/>
        <w:i w:val="0"/>
        <w:color w:val="7A6753"/>
        <w:sz w:val="14"/>
      </w:rPr>
      <w:t xml:space="preserve">The Aura Reset Center  ·  332 Jumeirah First, Jumeirah 1, Dubai, UAE  ·  </w:t>
    </w:r>
    <w:r>
      <w:rPr>
        <w:rFonts w:ascii="Jost" w:hAnsi="Jost" w:cs="Jost" w:eastAsia="Jost"/>
        <w:b w:val="0"/>
        <w:i w:val="0"/>
        <w:color w:val="A6754C"/>
        <w:sz w:val="14"/>
      </w:rPr>
      <w:t>[Phone]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</w:t>
    </w:r>
    <w:r>
      <w:rPr>
        <w:rFonts w:ascii="Jost" w:hAnsi="Jost" w:cs="Jost" w:eastAsia="Jost"/>
        <w:b w:val="0"/>
        <w:i w:val="0"/>
        <w:color w:val="A6754C"/>
        <w:sz w:val="14"/>
      </w:rPr>
      <w:t>[Email]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</w:t>
    </w:r>
    <w:r>
      <w:rPr>
        <w:rFonts w:ascii="Jost" w:hAnsi="Jost" w:cs="Jost" w:eastAsia="Jost"/>
        <w:b w:val="0"/>
        <w:i w:val="0"/>
        <w:color w:val="A6754C"/>
        <w:sz w:val="14"/>
      </w:rPr>
      <w:t>[Website]</w:t>
    </w:r>
  </w:p>
  <w:p>
    <w:pPr>
      <w:spacing w:before="0" w:after="0" w:line="264" w:lineRule="auto"/>
      <w:jc w:val="center"/>
    </w:pPr>
    <w:r>
      <w:rPr>
        <w:rFonts w:ascii="Jost" w:hAnsi="Jost" w:cs="Jost" w:eastAsia="Jost"/>
        <w:b w:val="0"/>
        <w:i w:val="0"/>
        <w:color w:val="A6754C"/>
        <w:sz w:val="14"/>
      </w:rPr>
      <w:t>[Registered Company Name]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Trade License No. </w:t>
    </w:r>
    <w:r>
      <w:rPr>
        <w:rFonts w:ascii="Jost" w:hAnsi="Jost" w:cs="Jost" w:eastAsia="Jost"/>
        <w:b w:val="0"/>
        <w:i w:val="0"/>
        <w:color w:val="A6754C"/>
        <w:sz w:val="14"/>
      </w:rPr>
      <w:t>[___]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TRN </w:t>
    </w:r>
    <w:r>
      <w:rPr>
        <w:rFonts w:ascii="Jost" w:hAnsi="Jost" w:cs="Jost" w:eastAsia="Jost"/>
        <w:b w:val="0"/>
        <w:i w:val="0"/>
        <w:color w:val="A6754C"/>
        <w:sz w:val="14"/>
      </w:rPr>
      <w:t>[___]</w:t>
    </w:r>
  </w:p>
  <w:p>
    <w:pPr>
      <w:spacing w:before="40" w:after="0" w:line="264" w:lineRule="auto"/>
      <w:jc w:val="center"/>
    </w:pPr>
    <w:r>
      <w:rPr>
        <w:rFonts w:ascii="Jost" w:hAnsi="Jost" w:cs="Jost" w:eastAsia="Jost"/>
        <w:color w:val="A6754C"/>
        <w:sz w:val="14"/>
      </w:rPr>
      <w:t xml:space="preserve">AUR-TRT-10  ·  Confidential — internal draft  ·  Page </w:t>
    </w:r>
    <w:r>
      <w:rPr>
        <w:rFonts w:ascii="Jost" w:hAnsi="Jost" w:cs="Jost" w:eastAsia="Jost"/>
        <w:color w:val="A6754C"/>
        <w:sz w:val="14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Jost" w:hAnsi="Jost" w:cs="Jost" w:eastAsia="Jost"/>
        <w:color w:val="A6754C"/>
        <w:sz w:val="14"/>
      </w:rPr>
      <w:t xml:space="preserve"> of </w:t>
    </w:r>
    <w:r>
      <w:rPr>
        <w:rFonts w:ascii="Jost" w:hAnsi="Jost" w:cs="Jost" w:eastAsia="Jost"/>
        <w:color w:val="A6754C"/>
        <w:sz w:val="14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center"/>
      <w:pBdr>
        <w:bottom w:val="single" w:sz="4" w:space="6" w:color="DCC6B0"/>
      </w:pBdr>
    </w:pPr>
    <w:r>
      <w:drawing>
        <wp:inline xmlns:a="http://schemas.openxmlformats.org/drawingml/2006/main" xmlns:pic="http://schemas.openxmlformats.org/drawingml/2006/picture">
          <wp:extent cx="1440000" cy="6805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ligh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0000" cy="6805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Jost" w:hAnsi="Jost" w:eastAsia="Jost"/>
      <w:color w:val="4A3A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Jost" w:hAnsi="Jost"/>
      <w:color w:val="4A3A2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Jost" w:hAnsi="Jost"/>
      <w:color w:val="4A3A2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Sound Healing Sessions — Treatment SOP</dc:title>
  <dc:subject/>
  <dc:creator>The Aura Reset Center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