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Request for Quotation (RFQ) Template</w:t>
      </w:r>
    </w:p>
    <w:p>
      <w:pPr>
        <w:spacing w:before="0" w:after="280" w:line="264" w:lineRule="auto"/>
        <w:pBdr>
          <w:bottom w:val="single" w:sz="6" w:space="8" w:color="A6754C"/>
        </w:pBdr>
      </w:pPr>
      <w:r>
        <w:rPr>
          <w:rFonts w:ascii="Jost" w:hAnsi="Jost" w:cs="Jost" w:eastAsia="Jost"/>
          <w:b w:val="0"/>
          <w:i w:val="0"/>
          <w:color w:val="7A6753"/>
          <w:sz w:val="16"/>
        </w:rPr>
        <w:t xml:space="preserve">Document No. AUR-FIN-09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How to use: complete the blank fields, send to at least three suppliers where the purchasing procedure (AUR-FIN-10) requires it, and record responses on the vendor comparison sheet (AUR-FIN-08). Do not share internal budgets with suppliers.</w:t>
      </w:r>
    </w:p>
    <w:p>
      <w:pPr>
        <w:keepNext/>
        <w:spacing w:before="280" w:after="100" w:line="264" w:lineRule="auto"/>
      </w:pPr>
      <w:r>
        <w:rPr>
          <w:rFonts w:ascii="Marcellus" w:hAnsi="Marcellus" w:cs="Marcellus" w:eastAsia="Marcellus"/>
          <w:color w:val="221913"/>
          <w:sz w:val="28"/>
        </w:rPr>
        <w:t>1. RFQ details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Entry</w:t>
            </w:r>
          </w:p>
        </w:tc>
      </w:tr>
      <w:tr>
        <w:tc>
          <w:tcPr>
            <w:tcW w:type="dxa" w:w="4706"/>
          </w:tcPr>
          <w:p>
            <w:pPr>
              <w:spacing w:before="40" w:after="40" w:line="276" w:lineRule="auto"/>
            </w:pPr>
            <w:r>
              <w:rPr>
                <w:rFonts w:ascii="Jost" w:hAnsi="Jost" w:cs="Jost" w:eastAsia="Jost"/>
                <w:b w:val="0"/>
                <w:i w:val="0"/>
                <w:color w:val="4A3A2C"/>
                <w:sz w:val="17"/>
              </w:rPr>
              <w:t>RFQ reference</w:t>
            </w:r>
          </w:p>
        </w:tc>
        <w:tc>
          <w:tcPr>
            <w:tcW w:type="dxa" w:w="4706"/>
          </w:tcPr>
          <w:p>
            <w:pPr>
              <w:spacing w:before="40" w:after="40" w:line="276" w:lineRule="auto"/>
            </w:pPr>
            <w:r>
              <w:rPr>
                <w:rFonts w:ascii="Jost" w:hAnsi="Jost" w:cs="Jost" w:eastAsia="Jost"/>
                <w:b w:val="0"/>
                <w:i w:val="0"/>
                <w:color w:val="4A3A2C"/>
                <w:sz w:val="17"/>
              </w:rPr>
              <w:t>RFQ-</w:t>
            </w:r>
            <w:r>
              <w:rPr>
                <w:rFonts w:ascii="Jost" w:hAnsi="Jost" w:cs="Jost" w:eastAsia="Jost"/>
                <w:b w:val="0"/>
                <w:i w:val="0"/>
                <w:color w:val="A6754C"/>
                <w:sz w:val="17"/>
              </w:rPr>
              <w:t>[YYYY]</w:t>
            </w:r>
            <w:r>
              <w:rPr>
                <w:rFonts w:ascii="Jost" w:hAnsi="Jost" w:cs="Jost" w:eastAsia="Jost"/>
                <w:b w:val="0"/>
                <w:i w:val="0"/>
                <w:color w:val="4A3A2C"/>
                <w:sz w:val="17"/>
              </w:rPr>
              <w:t>-</w:t>
            </w:r>
            <w:r>
              <w:rPr>
                <w:rFonts w:ascii="Jost" w:hAnsi="Jost" w:cs="Jost" w:eastAsia="Jost"/>
                <w:b w:val="0"/>
                <w:i w:val="0"/>
                <w:color w:val="A6754C"/>
                <w:sz w:val="17"/>
              </w:rPr>
              <w:t>[NNN]</w:t>
            </w:r>
          </w:p>
        </w:tc>
      </w:tr>
      <w:tr>
        <w:tc>
          <w:tcPr>
            <w:tcW w:type="dxa" w:w="4706"/>
            <w:shd w:val="clear" w:color="auto" w:fill="FBF5EE"/>
          </w:tcPr>
          <w:p>
            <w:pPr>
              <w:spacing w:before="40" w:after="40" w:line="276" w:lineRule="auto"/>
            </w:pPr>
            <w:r>
              <w:rPr>
                <w:rFonts w:ascii="Jost" w:hAnsi="Jost" w:cs="Jost" w:eastAsia="Jost"/>
                <w:b w:val="0"/>
                <w:i w:val="0"/>
                <w:color w:val="4A3A2C"/>
                <w:sz w:val="17"/>
              </w:rPr>
              <w:t>Date issued</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Issued by</w:t>
            </w:r>
          </w:p>
        </w:tc>
        <w:tc>
          <w:tcPr>
            <w:tcW w:type="dxa" w:w="4706"/>
          </w:tcPr>
          <w:p>
            <w:pPr>
              <w:spacing w:before="40" w:after="40" w:line="276" w:lineRule="auto"/>
            </w:pPr>
            <w:r>
              <w:rPr>
                <w:rFonts w:ascii="Jost" w:hAnsi="Jost" w:cs="Jost" w:eastAsia="Jost"/>
                <w:b w:val="0"/>
                <w:i w:val="0"/>
                <w:color w:val="A6754C"/>
                <w:sz w:val="17"/>
              </w:rPr>
              <w:t>[Registered Company Name]</w:t>
            </w:r>
            <w:r>
              <w:rPr>
                <w:rFonts w:ascii="Jost" w:hAnsi="Jost" w:cs="Jost" w:eastAsia="Jost"/>
                <w:b w:val="0"/>
                <w:i w:val="0"/>
                <w:color w:val="4A3A2C"/>
                <w:sz w:val="17"/>
              </w:rPr>
              <w:t>, trading as The Aura Reset Center</w:t>
            </w:r>
          </w:p>
        </w:tc>
      </w:tr>
      <w:tr>
        <w:tc>
          <w:tcPr>
            <w:tcW w:type="dxa" w:w="4706"/>
            <w:shd w:val="clear" w:color="auto" w:fill="FBF5EE"/>
          </w:tcPr>
          <w:p>
            <w:pPr>
              <w:spacing w:before="40" w:after="40" w:line="276" w:lineRule="auto"/>
            </w:pPr>
            <w:r>
              <w:rPr>
                <w:rFonts w:ascii="Jost" w:hAnsi="Jost" w:cs="Jost" w:eastAsia="Jost"/>
                <w:b w:val="0"/>
                <w:i w:val="0"/>
                <w:color w:val="4A3A2C"/>
                <w:sz w:val="17"/>
              </w:rPr>
              <w:t>Address</w:t>
            </w:r>
          </w:p>
        </w:tc>
        <w:tc>
          <w:tcPr>
            <w:tcW w:type="dxa" w:w="4706"/>
            <w:shd w:val="clear" w:color="auto" w:fill="FBF5EE"/>
          </w:tcPr>
          <w:p>
            <w:pPr>
              <w:spacing w:before="40" w:after="40" w:line="276" w:lineRule="auto"/>
            </w:pPr>
            <w:r>
              <w:rPr>
                <w:rFonts w:ascii="Jost" w:hAnsi="Jost" w:cs="Jost" w:eastAsia="Jost"/>
                <w:b w:val="0"/>
                <w:i w:val="0"/>
                <w:color w:val="4A3A2C"/>
                <w:sz w:val="17"/>
              </w:rPr>
              <w:t>332 Jumeirah First, Jumeirah Beach Road, Jumeirah 1, Dubai, UAE</w:t>
            </w:r>
          </w:p>
        </w:tc>
      </w:tr>
      <w:tr>
        <w:tc>
          <w:tcPr>
            <w:tcW w:type="dxa" w:w="4706"/>
          </w:tcPr>
          <w:p>
            <w:pPr>
              <w:spacing w:before="40" w:after="40" w:line="276" w:lineRule="auto"/>
            </w:pPr>
            <w:r>
              <w:rPr>
                <w:rFonts w:ascii="Jost" w:hAnsi="Jost" w:cs="Jost" w:eastAsia="Jost"/>
                <w:b w:val="0"/>
                <w:i w:val="0"/>
                <w:color w:val="4A3A2C"/>
                <w:sz w:val="17"/>
              </w:rPr>
              <w:t>Contact name and title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Email / phone</w:t>
            </w:r>
          </w:p>
        </w:tc>
        <w:tc>
          <w:tcPr>
            <w:tcW w:type="dxa" w:w="4706"/>
            <w:shd w:val="clear" w:color="auto" w:fill="FBF5EE"/>
          </w:tcPr>
          <w:p>
            <w:pPr>
              <w:spacing w:before="40" w:after="40" w:line="276" w:lineRule="auto"/>
            </w:pPr>
            <w:r>
              <w:rPr>
                <w:rFonts w:ascii="Jost" w:hAnsi="Jost" w:cs="Jost" w:eastAsia="Jost"/>
                <w:b w:val="0"/>
                <w:i w:val="0"/>
                <w:color w:val="A6754C"/>
                <w:sz w:val="17"/>
              </w:rPr>
              <w:t>[Email]</w:t>
            </w:r>
            <w:r>
              <w:rPr>
                <w:rFonts w:ascii="Jost" w:hAnsi="Jost" w:cs="Jost" w:eastAsia="Jost"/>
                <w:b w:val="0"/>
                <w:i w:val="0"/>
                <w:color w:val="4A3A2C"/>
                <w:sz w:val="17"/>
              </w:rPr>
              <w:t xml:space="preserve"> / </w:t>
            </w:r>
            <w:r>
              <w:rPr>
                <w:rFonts w:ascii="Jost" w:hAnsi="Jost" w:cs="Jost" w:eastAsia="Jost"/>
                <w:b w:val="0"/>
                <w:i w:val="0"/>
                <w:color w:val="A6754C"/>
                <w:sz w:val="17"/>
              </w:rPr>
              <w:t>[Phone]</w:t>
            </w:r>
          </w:p>
        </w:tc>
      </w:tr>
      <w:tr>
        <w:tc>
          <w:tcPr>
            <w:tcW w:type="dxa" w:w="4706"/>
          </w:tcPr>
          <w:p>
            <w:pPr>
              <w:spacing w:before="40" w:after="40" w:line="276" w:lineRule="auto"/>
            </w:pPr>
            <w:r>
              <w:rPr>
                <w:rFonts w:ascii="Jost" w:hAnsi="Jost" w:cs="Jost" w:eastAsia="Jost"/>
                <w:b w:val="0"/>
                <w:i w:val="0"/>
                <w:color w:val="4A3A2C"/>
                <w:sz w:val="17"/>
              </w:rPr>
              <w:t>Supplier name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Quotation due by</w:t>
            </w:r>
          </w:p>
        </w:tc>
        <w:tc>
          <w:tcPr>
            <w:tcW w:type="dxa" w:w="4706"/>
            <w:shd w:val="clear" w:color="auto" w:fill="FBF5EE"/>
          </w:tcPr>
          <w:p>
            <w:pPr>
              <w:spacing w:before="40" w:after="40" w:line="276" w:lineRule="auto"/>
            </w:pPr>
            <w:r>
              <w:rPr>
                <w:rFonts w:ascii="Jost" w:hAnsi="Jost" w:cs="Jost" w:eastAsia="Jost"/>
                <w:b w:val="0"/>
                <w:i w:val="0"/>
                <w:color w:val="4A3A2C"/>
                <w:sz w:val="17"/>
              </w:rPr>
              <w:t>__________ (date and time, GST)</w:t>
            </w:r>
          </w:p>
        </w:tc>
      </w:tr>
      <w:tr>
        <w:tc>
          <w:tcPr>
            <w:tcW w:type="dxa" w:w="4706"/>
          </w:tcPr>
          <w:p>
            <w:pPr>
              <w:spacing w:before="40" w:after="40" w:line="276" w:lineRule="auto"/>
            </w:pPr>
            <w:r>
              <w:rPr>
                <w:rFonts w:ascii="Jost" w:hAnsi="Jost" w:cs="Jost" w:eastAsia="Jost"/>
                <w:b w:val="0"/>
                <w:i w:val="0"/>
                <w:color w:val="4A3A2C"/>
                <w:sz w:val="17"/>
              </w:rPr>
              <w:t>Quotation valid for at least</w:t>
            </w:r>
          </w:p>
        </w:tc>
        <w:tc>
          <w:tcPr>
            <w:tcW w:type="dxa" w:w="4706"/>
          </w:tcPr>
          <w:p>
            <w:pPr>
              <w:spacing w:before="40" w:after="40" w:line="276" w:lineRule="auto"/>
            </w:pPr>
            <w:r>
              <w:rPr>
                <w:rFonts w:ascii="Jost" w:hAnsi="Jost" w:cs="Jost" w:eastAsia="Jost"/>
                <w:b w:val="0"/>
                <w:i w:val="0"/>
                <w:color w:val="A6754C"/>
                <w:sz w:val="17"/>
              </w:rPr>
              <w:t>[60]</w:t>
            </w:r>
            <w:r>
              <w:rPr>
                <w:rFonts w:ascii="Jost" w:hAnsi="Jost" w:cs="Jost" w:eastAsia="Jost"/>
                <w:b w:val="0"/>
                <w:i w:val="0"/>
                <w:color w:val="4A3A2C"/>
                <w:sz w:val="17"/>
              </w:rPr>
              <w:t xml:space="preserve"> days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2. About us</w:t>
      </w:r>
    </w:p>
    <w:p>
      <w:pPr>
        <w:spacing w:before="0" w:after="120" w:line="312" w:lineRule="auto"/>
      </w:pPr>
      <w:r>
        <w:rPr>
          <w:rFonts w:ascii="Jost" w:hAnsi="Jost" w:cs="Jost" w:eastAsia="Jost"/>
          <w:b w:val="0"/>
          <w:i w:val="0"/>
          <w:color w:val="4A3A2C"/>
          <w:sz w:val="20"/>
        </w:rPr>
        <w:t>The Aura Reset Center is a nervous-system-regulation wellness studio opening in Jumeirah 1, Dubai, in November 2026, with ten wellness modalities, a first-visit Healer consultation and clinical-grade equipment from Elevé Health. We look for suppliers who share our standards of quality, hygiene, reliability and calm, considered service.</w:t>
      </w:r>
    </w:p>
    <w:p>
      <w:pPr>
        <w:keepNext/>
        <w:spacing w:before="280" w:after="100" w:line="264" w:lineRule="auto"/>
      </w:pPr>
      <w:r>
        <w:rPr>
          <w:rFonts w:ascii="Marcellus" w:hAnsi="Marcellus" w:cs="Marcellus" w:eastAsia="Marcellus"/>
          <w:color w:val="221913"/>
          <w:sz w:val="28"/>
        </w:rPr>
        <w:t>3. Requirement</w:t>
      </w:r>
    </w:p>
    <w:p>
      <w:pPr>
        <w:spacing w:before="0" w:after="120" w:line="312" w:lineRule="auto"/>
      </w:pPr>
      <w:r>
        <w:rPr>
          <w:rFonts w:ascii="Jost" w:hAnsi="Jost" w:cs="Jost" w:eastAsia="Jost"/>
          <w:b/>
          <w:i w:val="0"/>
          <w:color w:val="4A3A2C"/>
          <w:sz w:val="20"/>
        </w:rPr>
        <w:t>Category:</w:t>
      </w:r>
      <w:r>
        <w:rPr>
          <w:rFonts w:ascii="Jost" w:hAnsi="Jost" w:cs="Jost" w:eastAsia="Jost"/>
          <w:b w:val="0"/>
          <w:i w:val="0"/>
          <w:color w:val="4A3A2C"/>
          <w:sz w:val="20"/>
        </w:rPr>
        <w:t xml:space="preserve"> ☐ Branded amenities (towels, clothing, slippers, robes) ☐ Laundry equipment ☐ Cleaning chemicals ☐ Refreshments ☐ Retail ☐ IT / software ☐ Payment ☐ Insurance ☐ Fit-out / works ☐ Signage / printing ☐ Other: __________</w:t>
      </w:r>
    </w:p>
    <w:p>
      <w:pPr>
        <w:spacing w:before="0" w:after="120" w:line="312" w:lineRule="auto"/>
      </w:pPr>
      <w:r>
        <w:rPr>
          <w:rFonts w:ascii="Jost" w:hAnsi="Jost" w:cs="Jost" w:eastAsia="Jost"/>
          <w:b/>
          <w:i w:val="0"/>
          <w:color w:val="4A3A2C"/>
          <w:sz w:val="20"/>
        </w:rPr>
        <w:t>Summary of need:</w:t>
      </w:r>
      <w:r>
        <w:rPr>
          <w:rFonts w:ascii="Jost" w:hAnsi="Jost" w:cs="Jost" w:eastAsia="Jost"/>
          <w:b w:val="0"/>
          <w:i w:val="0"/>
          <w:color w:val="4A3A2C"/>
          <w:sz w:val="20"/>
        </w:rPr>
        <w:t xml:space="preserve"> __________</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Line</w:t>
            </w:r>
          </w:p>
        </w:tc>
        <w:tc>
          <w:tcPr>
            <w:tcW w:type="dxa" w:w="1569"/>
            <w:shd w:val="clear" w:color="auto" w:fill="221913"/>
          </w:tcPr>
          <w:p>
            <w:pPr>
              <w:spacing w:before="40" w:after="40" w:line="276" w:lineRule="auto"/>
            </w:pPr>
            <w:r>
              <w:rPr>
                <w:rFonts w:ascii="Jost" w:hAnsi="Jost" w:cs="Jost" w:eastAsia="Jost"/>
                <w:b/>
                <w:i w:val="0"/>
                <w:color w:val="FBF5EE"/>
                <w:sz w:val="17"/>
              </w:rPr>
              <w:t>Item / service description</w:t>
            </w:r>
          </w:p>
        </w:tc>
        <w:tc>
          <w:tcPr>
            <w:tcW w:type="dxa" w:w="1569"/>
            <w:shd w:val="clear" w:color="auto" w:fill="221913"/>
          </w:tcPr>
          <w:p>
            <w:pPr>
              <w:spacing w:before="40" w:after="40" w:line="276" w:lineRule="auto"/>
            </w:pPr>
            <w:r>
              <w:rPr>
                <w:rFonts w:ascii="Jost" w:hAnsi="Jost" w:cs="Jost" w:eastAsia="Jost"/>
                <w:b/>
                <w:i w:val="0"/>
                <w:color w:val="FBF5EE"/>
                <w:sz w:val="17"/>
              </w:rPr>
              <w:t>Specification / standard</w:t>
            </w:r>
          </w:p>
        </w:tc>
        <w:tc>
          <w:tcPr>
            <w:tcW w:type="dxa" w:w="1569"/>
            <w:shd w:val="clear" w:color="auto" w:fill="221913"/>
          </w:tcPr>
          <w:p>
            <w:pPr>
              <w:spacing w:before="40" w:after="40" w:line="276" w:lineRule="auto"/>
            </w:pPr>
            <w:r>
              <w:rPr>
                <w:rFonts w:ascii="Jost" w:hAnsi="Jost" w:cs="Jost" w:eastAsia="Jost"/>
                <w:b/>
                <w:i w:val="0"/>
                <w:color w:val="FBF5EE"/>
                <w:sz w:val="17"/>
              </w:rPr>
              <w:t>Quantity</w:t>
            </w:r>
          </w:p>
        </w:tc>
        <w:tc>
          <w:tcPr>
            <w:tcW w:type="dxa" w:w="1569"/>
            <w:shd w:val="clear" w:color="auto" w:fill="221913"/>
          </w:tcPr>
          <w:p>
            <w:pPr>
              <w:spacing w:before="40" w:after="40" w:line="276" w:lineRule="auto"/>
            </w:pPr>
            <w:r>
              <w:rPr>
                <w:rFonts w:ascii="Jost" w:hAnsi="Jost" w:cs="Jost" w:eastAsia="Jost"/>
                <w:b/>
                <w:i w:val="0"/>
                <w:color w:val="FBF5EE"/>
                <w:sz w:val="17"/>
              </w:rPr>
              <w:t>Unit</w:t>
            </w:r>
          </w:p>
        </w:tc>
        <w:tc>
          <w:tcPr>
            <w:tcW w:type="dxa" w:w="1569"/>
            <w:shd w:val="clear" w:color="auto" w:fill="221913"/>
          </w:tcPr>
          <w:p>
            <w:pPr>
              <w:spacing w:before="40" w:after="40" w:line="276" w:lineRule="auto"/>
            </w:pPr>
            <w:r>
              <w:rPr>
                <w:rFonts w:ascii="Jost" w:hAnsi="Jost" w:cs="Jost" w:eastAsia="Jost"/>
                <w:b/>
                <w:i w:val="0"/>
                <w:color w:val="FBF5EE"/>
                <w:sz w:val="17"/>
              </w:rPr>
              <w:t>Delivery / frequency</w:t>
            </w:r>
          </w:p>
        </w:tc>
      </w:tr>
      <w:tr>
        <w:tc>
          <w:tcPr>
            <w:tcW w:type="dxa" w:w="1569"/>
          </w:tcPr>
          <w:p>
            <w:pPr>
              <w:spacing w:before="40" w:after="40" w:line="276" w:lineRule="auto"/>
            </w:pPr>
            <w:r>
              <w:rPr>
                <w:rFonts w:ascii="Jost" w:hAnsi="Jost" w:cs="Jost" w:eastAsia="Jost"/>
                <w:b w:val="0"/>
                <w:i w:val="0"/>
                <w:color w:val="4A3A2C"/>
                <w:sz w:val="17"/>
              </w:rPr>
              <w:t>1</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w:t>
            </w:r>
          </w:p>
        </w:tc>
        <w:tc>
          <w:tcPr>
            <w:tcW w:type="dxa" w:w="1569"/>
          </w:tcPr>
          <w:p>
            <w:pPr>
              <w:spacing w:before="40" w:after="40" w:line="276" w:lineRule="auto"/>
            </w:pPr>
            <w:r>
              <w:rPr>
                <w:rFonts w:ascii="Jost" w:hAnsi="Jost" w:cs="Jost" w:eastAsia="Jost"/>
                <w:b w:val="0"/>
                <w:i w:val="0"/>
                <w:color w:val="4A3A2C"/>
                <w:sz w:val="17"/>
              </w:rPr>
              <w:t>____</w:t>
            </w:r>
          </w:p>
        </w:tc>
        <w:tc>
          <w:tcPr>
            <w:tcW w:type="dxa" w:w="1569"/>
          </w:tcPr>
          <w:p>
            <w:pPr>
              <w:spacing w:before="40" w:after="40" w:line="276" w:lineRule="auto"/>
            </w:pPr>
            <w:r>
              <w:rPr>
                <w:rFonts w:ascii="Jost" w:hAnsi="Jost" w:cs="Jost" w:eastAsia="Jost"/>
                <w:b w:val="0"/>
                <w:i w:val="0"/>
                <w:color w:val="4A3A2C"/>
                <w:sz w:val="17"/>
              </w:rPr>
              <w:t>__________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2</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w:t>
            </w:r>
          </w:p>
        </w:tc>
        <w:tc>
          <w:tcPr>
            <w:tcW w:type="dxa" w:w="1569"/>
            <w:shd w:val="clear" w:color="auto" w:fill="FBF5EE"/>
          </w:tcPr>
          <w:p>
            <w:pPr>
              <w:spacing w:before="40" w:after="40" w:line="276" w:lineRule="auto"/>
            </w:pPr>
            <w:r>
              <w:rPr>
                <w:rFonts w:ascii="Jost" w:hAnsi="Jost" w:cs="Jost" w:eastAsia="Jost"/>
                <w:b w:val="0"/>
                <w:i w:val="0"/>
                <w:color w:val="4A3A2C"/>
                <w:sz w:val="17"/>
              </w:rPr>
              <w:t>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569"/>
          </w:tcPr>
          <w:p>
            <w:pPr>
              <w:spacing w:before="40" w:after="40" w:line="276" w:lineRule="auto"/>
            </w:pPr>
            <w:r>
              <w:rPr>
                <w:rFonts w:ascii="Jost" w:hAnsi="Jost" w:cs="Jost" w:eastAsia="Jost"/>
                <w:b w:val="0"/>
                <w:i w:val="0"/>
                <w:color w:val="4A3A2C"/>
                <w:sz w:val="17"/>
              </w:rPr>
              <w:t>3</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w:t>
            </w:r>
          </w:p>
        </w:tc>
        <w:tc>
          <w:tcPr>
            <w:tcW w:type="dxa" w:w="1569"/>
          </w:tcPr>
          <w:p>
            <w:pPr>
              <w:spacing w:before="40" w:after="40" w:line="276" w:lineRule="auto"/>
            </w:pPr>
            <w:r>
              <w:rPr>
                <w:rFonts w:ascii="Jost" w:hAnsi="Jost" w:cs="Jost" w:eastAsia="Jost"/>
                <w:b w:val="0"/>
                <w:i w:val="0"/>
                <w:color w:val="4A3A2C"/>
                <w:sz w:val="17"/>
              </w:rPr>
              <w:t>____</w:t>
            </w:r>
          </w:p>
        </w:tc>
        <w:tc>
          <w:tcPr>
            <w:tcW w:type="dxa" w:w="1569"/>
          </w:tcPr>
          <w:p>
            <w:pPr>
              <w:spacing w:before="40" w:after="40" w:line="276" w:lineRule="auto"/>
            </w:pPr>
            <w:r>
              <w:rPr>
                <w:rFonts w:ascii="Jost" w:hAnsi="Jost" w:cs="Jost" w:eastAsia="Jost"/>
                <w:b w:val="0"/>
                <w:i w:val="0"/>
                <w:color w:val="4A3A2C"/>
                <w:sz w:val="17"/>
              </w:rPr>
              <w:t>__________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4</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w:t>
            </w:r>
          </w:p>
        </w:tc>
        <w:tc>
          <w:tcPr>
            <w:tcW w:type="dxa" w:w="1569"/>
            <w:shd w:val="clear" w:color="auto" w:fill="FBF5EE"/>
          </w:tcPr>
          <w:p>
            <w:pPr>
              <w:spacing w:before="40" w:after="40" w:line="276" w:lineRule="auto"/>
            </w:pPr>
            <w:r>
              <w:rPr>
                <w:rFonts w:ascii="Jost" w:hAnsi="Jost" w:cs="Jost" w:eastAsia="Jost"/>
                <w:b w:val="0"/>
                <w:i w:val="0"/>
                <w:color w:val="4A3A2C"/>
                <w:sz w:val="17"/>
              </w:rPr>
              <w:t>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spacing w:before="0" w:after="120" w:line="312" w:lineRule="auto"/>
      </w:pPr>
      <w:r>
        <w:rPr>
          <w:rFonts w:ascii="Jost" w:hAnsi="Jost" w:cs="Jost" w:eastAsia="Jost"/>
          <w:b/>
          <w:i w:val="0"/>
          <w:color w:val="4A3A2C"/>
          <w:sz w:val="20"/>
        </w:rPr>
        <w:t>Delivery address:</w:t>
      </w:r>
      <w:r>
        <w:rPr>
          <w:rFonts w:ascii="Jost" w:hAnsi="Jost" w:cs="Jost" w:eastAsia="Jost"/>
          <w:b w:val="0"/>
          <w:i w:val="0"/>
          <w:color w:val="4A3A2C"/>
          <w:sz w:val="20"/>
        </w:rPr>
        <w:t xml:space="preserve"> 332 Jumeirah First, Jumeirah 1, Dubai · </w:t>
      </w:r>
      <w:r>
        <w:rPr>
          <w:rFonts w:ascii="Jost" w:hAnsi="Jost" w:cs="Jost" w:eastAsia="Jost"/>
          <w:b/>
          <w:i w:val="0"/>
          <w:color w:val="4A3A2C"/>
          <w:sz w:val="20"/>
        </w:rPr>
        <w:t>Delivery window:</w:t>
      </w:r>
      <w:r>
        <w:rPr>
          <w:rFonts w:ascii="Jost" w:hAnsi="Jost" w:cs="Jost" w:eastAsia="Jost"/>
          <w:b w:val="0"/>
          <w:i w:val="0"/>
          <w:color w:val="4A3A2C"/>
          <w:sz w:val="20"/>
        </w:rPr>
        <w:t xml:space="preserve"> 9:00am–9:00pm, 7 days, or by arrangement </w:t>
      </w:r>
      <w:r>
        <w:rPr>
          <w:rFonts w:ascii="Jost" w:hAnsi="Jost" w:cs="Jost" w:eastAsia="Jost"/>
          <w:b/>
          <w:i w:val="0"/>
          <w:color w:val="4A3A2C"/>
          <w:sz w:val="20"/>
        </w:rPr>
        <w:t>Required by:</w:t>
      </w:r>
      <w:r>
        <w:rPr>
          <w:rFonts w:ascii="Jost" w:hAnsi="Jost" w:cs="Jost" w:eastAsia="Jost"/>
          <w:b w:val="0"/>
          <w:i w:val="0"/>
          <w:color w:val="4A3A2C"/>
          <w:sz w:val="20"/>
        </w:rPr>
        <w:t xml:space="preserve"> __________</w:t>
      </w:r>
    </w:p>
    <w:p>
      <w:pPr>
        <w:keepNext/>
        <w:spacing w:before="280" w:after="100" w:line="264" w:lineRule="auto"/>
      </w:pPr>
      <w:r>
        <w:rPr>
          <w:rFonts w:ascii="Marcellus" w:hAnsi="Marcellus" w:cs="Marcellus" w:eastAsia="Marcellus"/>
          <w:color w:val="221913"/>
          <w:sz w:val="28"/>
        </w:rPr>
        <w:t>4. What your quotation must include</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Unit price and total in AED, with VAT at 5% shown separately.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Your trade licence and TRN.</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Delivery lead time, delivery charges and minimum order quantities.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Payment terms.</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Warranty, service or replacement terms.</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Product specifications, safety data sheets and certificates (Dubai Municipality, DHA or MOHAP, as relevant).</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For services handling personal data: a data processing summary in line with UAE PDPL.</w:t>
      </w:r>
    </w:p>
    <w:p>
      <w:pPr>
        <w:tabs>
          <w:tab w:pos="357" w:val="left"/>
        </w:tabs>
        <w:spacing w:before="0" w:after="60" w:line="300" w:lineRule="auto"/>
        <w:ind w:left="357" w:hanging="283"/>
      </w:pPr>
      <w:r>
        <w:rPr>
          <w:rFonts w:ascii="Jost" w:hAnsi="Jost" w:cs="Jost" w:eastAsia="Jost"/>
          <w:b/>
          <w:color w:val="A6754C"/>
          <w:sz w:val="20"/>
        </w:rPr>
        <w:t>8.</w:t>
        <w:tab/>
      </w:r>
      <w:r>
        <w:rPr>
          <w:rFonts w:ascii="Jost" w:hAnsi="Jost" w:cs="Jost" w:eastAsia="Jost"/>
          <w:b w:val="0"/>
          <w:i w:val="0"/>
          <w:color w:val="4A3A2C"/>
          <w:sz w:val="20"/>
        </w:rPr>
        <w:t>Two client references, preferably in wellness, hospitality or clinical settings.</w:t>
      </w:r>
    </w:p>
    <w:p>
      <w:pPr>
        <w:tabs>
          <w:tab w:pos="357" w:val="left"/>
        </w:tabs>
        <w:spacing w:before="0" w:after="60" w:line="300" w:lineRule="auto"/>
        <w:ind w:left="357" w:hanging="283"/>
      </w:pPr>
      <w:r>
        <w:rPr>
          <w:rFonts w:ascii="Jost" w:hAnsi="Jost" w:cs="Jost" w:eastAsia="Jost"/>
          <w:b/>
          <w:color w:val="A6754C"/>
          <w:sz w:val="20"/>
        </w:rPr>
        <w:t>9.</w:t>
        <w:tab/>
      </w:r>
      <w:r>
        <w:rPr>
          <w:rFonts w:ascii="Jost" w:hAnsi="Jost" w:cs="Jost" w:eastAsia="Jost"/>
          <w:b w:val="0"/>
          <w:i w:val="0"/>
          <w:color w:val="4A3A2C"/>
          <w:sz w:val="20"/>
        </w:rPr>
        <w:t>Any assumptions or exclusions.</w:t>
      </w:r>
    </w:p>
    <w:p>
      <w:pPr>
        <w:keepNext/>
        <w:spacing w:before="280" w:after="100" w:line="264" w:lineRule="auto"/>
      </w:pPr>
      <w:r>
        <w:rPr>
          <w:rFonts w:ascii="Marcellus" w:hAnsi="Marcellus" w:cs="Marcellus" w:eastAsia="Marcellus"/>
          <w:color w:val="221913"/>
          <w:sz w:val="28"/>
        </w:rPr>
        <w:t>5. Evaluation</w:t>
      </w:r>
    </w:p>
    <w:p>
      <w:pPr>
        <w:spacing w:before="0" w:after="120" w:line="312" w:lineRule="auto"/>
      </w:pPr>
      <w:r>
        <w:rPr>
          <w:rFonts w:ascii="Jost" w:hAnsi="Jost" w:cs="Jost" w:eastAsia="Jost"/>
          <w:b w:val="0"/>
          <w:i w:val="0"/>
          <w:color w:val="4A3A2C"/>
          <w:sz w:val="20"/>
        </w:rPr>
        <w:t>Quotations will be evaluated on price, quality and specification fit, compliance, lead time and reliability, service and warranty, and fit with the guest experience. The lowest price will not necessarily be accepted. The Aura may accept all, part or none of any quotation, and may ask clarifying questions.</w:t>
      </w:r>
    </w:p>
    <w:p>
      <w:pPr>
        <w:keepNext/>
        <w:spacing w:before="280" w:after="100" w:line="264" w:lineRule="auto"/>
      </w:pPr>
      <w:r>
        <w:rPr>
          <w:rFonts w:ascii="Marcellus" w:hAnsi="Marcellus" w:cs="Marcellus" w:eastAsia="Marcellus"/>
          <w:color w:val="221913"/>
          <w:sz w:val="28"/>
        </w:rPr>
        <w:t>6. Conditions</w:t>
      </w:r>
    </w:p>
    <w:p>
      <w:pPr>
        <w:pStyle w:val="ListBullet"/>
        <w:spacing w:before="0" w:after="60" w:line="300" w:lineRule="auto"/>
      </w:pPr>
      <w:r>
        <w:rPr>
          <w:rFonts w:ascii="Jost" w:hAnsi="Jost" w:cs="Jost" w:eastAsia="Jost"/>
          <w:b w:val="0"/>
          <w:i w:val="0"/>
          <w:color w:val="4A3A2C"/>
          <w:sz w:val="20"/>
        </w:rPr>
        <w:t>This RFQ is not an order. An order exists only when The Aura issues a signed purchase order (AUR-FIN-10).</w:t>
      </w:r>
    </w:p>
    <w:p>
      <w:pPr>
        <w:pStyle w:val="ListBullet"/>
        <w:spacing w:before="0" w:after="60" w:line="300" w:lineRule="auto"/>
      </w:pPr>
      <w:r>
        <w:rPr>
          <w:rFonts w:ascii="Jost" w:hAnsi="Jost" w:cs="Jost" w:eastAsia="Jost"/>
          <w:b w:val="0"/>
          <w:i w:val="0"/>
          <w:color w:val="4A3A2C"/>
          <w:sz w:val="20"/>
        </w:rPr>
        <w:t>Costs of preparing a quotation are the supplier's own.</w:t>
      </w:r>
    </w:p>
    <w:p>
      <w:pPr>
        <w:pStyle w:val="ListBullet"/>
        <w:spacing w:before="0" w:after="60" w:line="300" w:lineRule="auto"/>
      </w:pPr>
      <w:r>
        <w:rPr>
          <w:rFonts w:ascii="Jost" w:hAnsi="Jost" w:cs="Jost" w:eastAsia="Jost"/>
          <w:b w:val="0"/>
          <w:i w:val="0"/>
          <w:color w:val="4A3A2C"/>
          <w:sz w:val="20"/>
        </w:rPr>
        <w:t>Information in this RFQ is confidential and for quotation purposes only.</w:t>
      </w:r>
    </w:p>
    <w:p>
      <w:pPr>
        <w:pStyle w:val="ListBullet"/>
        <w:spacing w:before="0" w:after="60" w:line="300" w:lineRule="auto"/>
      </w:pPr>
      <w:r>
        <w:rPr>
          <w:rFonts w:ascii="Jost" w:hAnsi="Jost" w:cs="Jost" w:eastAsia="Jost"/>
          <w:b w:val="0"/>
          <w:i w:val="0"/>
          <w:color w:val="4A3A2C"/>
          <w:sz w:val="20"/>
        </w:rPr>
        <w:t>Suppliers must declare any relationship with The Aura's staff or owners.</w:t>
      </w:r>
    </w:p>
    <w:p>
      <w:pPr>
        <w:pStyle w:val="ListBullet"/>
        <w:spacing w:before="0" w:after="60" w:line="300" w:lineRule="auto"/>
      </w:pPr>
      <w:r>
        <w:rPr>
          <w:rFonts w:ascii="Jost" w:hAnsi="Jost" w:cs="Jost" w:eastAsia="Jost"/>
          <w:b w:val="0"/>
          <w:i w:val="0"/>
          <w:color w:val="4A3A2C"/>
          <w:sz w:val="20"/>
        </w:rPr>
        <w:t>Equipment that interfaces with Elevé Health units must be approved by Elevé before purchase.</w:t>
      </w:r>
    </w:p>
    <w:p>
      <w:pPr>
        <w:keepNext/>
        <w:spacing w:before="280" w:after="100" w:line="264" w:lineRule="auto"/>
      </w:pPr>
      <w:r>
        <w:rPr>
          <w:rFonts w:ascii="Marcellus" w:hAnsi="Marcellus" w:cs="Marcellus" w:eastAsia="Marcellus"/>
          <w:color w:val="221913"/>
          <w:sz w:val="28"/>
        </w:rPr>
        <w:t>7. Supplier response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Entry</w:t>
            </w:r>
          </w:p>
        </w:tc>
      </w:tr>
      <w:tr>
        <w:tc>
          <w:tcPr>
            <w:tcW w:type="dxa" w:w="4706"/>
          </w:tcPr>
          <w:p>
            <w:pPr>
              <w:spacing w:before="40" w:after="40" w:line="276" w:lineRule="auto"/>
            </w:pPr>
            <w:r>
              <w:rPr>
                <w:rFonts w:ascii="Jost" w:hAnsi="Jost" w:cs="Jost" w:eastAsia="Jost"/>
                <w:b w:val="0"/>
                <w:i w:val="0"/>
                <w:color w:val="4A3A2C"/>
                <w:sz w:val="17"/>
              </w:rPr>
              <w:t>Total quoted (excl. VAT)</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VAT 5%</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Total (incl. VAT)</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Lead time</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Payment terms</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Quotation validity</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Supplier representative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Please send your quotation to </w:t>
      </w:r>
      <w:r>
        <w:rPr>
          <w:rFonts w:ascii="Jost" w:hAnsi="Jost" w:cs="Jost" w:eastAsia="Jost"/>
          <w:b w:val="0"/>
          <w:i w:val="0"/>
          <w:color w:val="A6754C"/>
          <w:sz w:val="20"/>
        </w:rPr>
        <w:t>[Email]</w:t>
      </w:r>
      <w:r>
        <w:rPr>
          <w:rFonts w:ascii="Jost" w:hAnsi="Jost" w:cs="Jost" w:eastAsia="Jost"/>
          <w:b w:val="0"/>
          <w:i w:val="0"/>
          <w:color w:val="4A3A2C"/>
          <w:sz w:val="20"/>
        </w:rPr>
        <w:t>, quoting the RFQ reference in the subject line.</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AUR-FIN-09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Quotation (RFQ) Template</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