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4788"/>
          <w:sz w:val="40"/>
          <w:szCs w:val="40"/>
        </w:rPr>
        <w:t xml:space="preserve">EXECUTIVE SUMMARY</w:t>
      </w:r>
    </w:p>
    <w:p>
      <w:pPr>
        <w:spacing w:after="480"/>
        <w:jc w:val="center"/>
      </w:pPr>
      <w:r>
        <w:rPr>
          <w:b/>
          <w:bCs/>
          <w:color w:val="666666"/>
          <w:sz w:val="28"/>
          <w:szCs w:val="28"/>
        </w:rPr>
        <w:t xml:space="preserve">Instructor Performance &amp; Course Quality Evaluation</w:t>
      </w:r>
    </w:p>
    <w:p>
      <w:pPr>
        <w:pBdr>
          <w:bottom w:val="single" w:color="1F4788" w:sz="12" w:space="1"/>
        </w:pBdr>
        <w:spacing w:after="720"/>
        <w:jc w:val="center"/>
      </w:pPr>
      <w:r>
        <w:rPr>
          <w:i/>
          <w:iCs/>
          <w:color w:val="999999"/>
          <w:sz w:val="24"/>
          <w:szCs w:val="24"/>
        </w:rPr>
        <w:t xml:space="preserve">EduPro Platform Analysis</w:t>
      </w:r>
    </w:p>
    <w:p>
      <w:pPr>
        <w:pStyle w:val="Heading1"/>
      </w:pPr>
      <w:r>
        <w:t xml:space="preserve">Purpose</w:t>
      </w:r>
    </w:p>
    <w:p>
      <w:pPr>
        <w:spacing w:after="240"/>
      </w:pPr>
      <w:r>
        <w:t xml:space="preserve">This executive summary presents key findings from a comprehensive data analysis of instructor performance and course quality on the EduPro online education platform. The analysis evaluates teaching effectiveness, identifies excellence, and provides strategic recommendations for continuous improvement.</w:t>
      </w:r>
    </w:p>
    <w:p>
      <w:pPr>
        <w:pStyle w:val="Heading1"/>
      </w:pPr>
      <w:r>
        <w:t xml:space="preserve">Key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 / Finding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Average Instructor Rating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Platform benchmark for teaching quality</w:t>
            </w:r>
          </w:p>
        </w:tc>
      </w:tr>
      <w:tr>
        <w:tc>
          <w:tcPr>
            <w:tcW w:type="dxa" w:w="468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Average Course Rating</w:t>
            </w:r>
          </w:p>
        </w:tc>
        <w:tc>
          <w:tcPr>
            <w:tcW w:type="dxa" w:w="468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Content effectiveness measure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Rating Consistency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Instructor reliability across platform</w:t>
            </w:r>
          </w:p>
        </w:tc>
      </w:tr>
      <w:tr>
        <w:tc>
          <w:tcPr>
            <w:tcW w:type="dxa" w:w="468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Experience-Rating Correlation</w:t>
            </w:r>
          </w:p>
        </w:tc>
        <w:tc>
          <w:tcPr>
            <w:tcW w:type="dxa" w:w="468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Experience impact on teaching quality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High-Rated Instructor Share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Enrollment concentration with top performers</w:t>
            </w:r>
          </w:p>
        </w:tc>
      </w:tr>
    </w:tbl>
    <w:p>
      <w:pPr>
        <w:spacing w:before="360"/>
      </w:pPr>
    </w:p>
    <w:p>
      <w:pPr>
        <w:pStyle w:val="Heading1"/>
      </w:pPr>
      <w:r>
        <w:t xml:space="preserve">Critical Findings</w:t>
      </w:r>
    </w:p>
    <w:p>
      <w:pPr>
        <w:pStyle w:val="Heading2"/>
      </w:pPr>
      <w:r>
        <w:t xml:space="preserve">1. Instructor Quality Directly Impacts Platform Success</w:t>
      </w:r>
    </w:p>
    <w:p>
      <w:pPr>
        <w:spacing w:after="180"/>
      </w:pPr>
      <w:r>
        <w:t xml:space="preserve">Strong positive correlation between instructor ratings and course ratings confirms that teaching excellence is the primary driver of learner satisfaction. High-rated instructors attract significantly higher enrollment volumes, demonstrating both opportunity and risk concentration.</w:t>
      </w:r>
    </w:p>
    <w:p>
      <w:pPr>
        <w:pStyle w:val="Heading2"/>
      </w:pPr>
      <w:r>
        <w:t xml:space="preserve">2. Experience Alone Does Not Predict Excellence</w:t>
      </w:r>
    </w:p>
    <w:p>
      <w:pPr>
        <w:spacing w:after="180"/>
      </w:pPr>
      <w:r>
        <w:t xml:space="preserve">Years of teaching experience show variable correlation with instructor performance, challenging traditional hiring assumptions. Pedagogical training, subject expertise, and instructional design capabilities appear equally important.</w:t>
      </w:r>
    </w:p>
    <w:p>
      <w:pPr>
        <w:pStyle w:val="Heading2"/>
      </w:pPr>
      <w:r>
        <w:t xml:space="preserve">3. Significant Quality Variation Across Platform</w:t>
      </w:r>
    </w:p>
    <w:p>
      <w:pPr>
        <w:spacing w:after="180"/>
      </w:pPr>
      <w:r>
        <w:t xml:space="preserve">Instructor ratings demonstrate substantial variation, with clear tiers of performance. This distribution reveals opportunities for systematic improvement through targeted professional development.</w:t>
      </w:r>
    </w:p>
    <w:p>
      <w:pPr>
        <w:pStyle w:val="Heading2"/>
      </w:pPr>
      <w:r>
        <w:t xml:space="preserve">4. Domain-Specific Teaching Challenges Identified</w:t>
      </w:r>
    </w:p>
    <w:p>
      <w:pPr>
        <w:spacing w:after="240"/>
      </w:pPr>
      <w:r>
        <w:t xml:space="preserve">Certain expertise areas consistently deliver higher-rated courses while others struggle with quality. These patterns indicate domain-specific pedagogical challenges requiring specialized interventions.</w:t>
      </w:r>
    </w:p>
    <w:p>
      <w:r>
        <w:br w:type="page"/>
      </w:r>
    </w:p>
    <w:p>
      <w:pPr>
        <w:pStyle w:val="Heading1"/>
      </w:pPr>
      <w:r>
        <w:t xml:space="preserve">Strategic Recommendations</w:t>
      </w:r>
    </w:p>
    <w:p>
      <w:pPr>
        <w:shd w:fill="E8F4F8" w:val="clear"/>
        <w:spacing w:after="120" w:before="120"/>
      </w:pPr>
      <w:r>
        <w:rPr>
          <w:b/>
          <w:bCs/>
          <w:color w:val="C0392B"/>
          <w:sz w:val="26"/>
          <w:szCs w:val="26"/>
        </w:rPr>
        <w:t xml:space="preserve">Priority 1: HIGH - Immediate Action Required</w:t>
      </w:r>
    </w:p>
    <w:p>
      <w:pPr>
        <w:pStyle w:val="Heading2"/>
      </w:pPr>
      <w:r>
        <w:t xml:space="preserve">Implement Tiered Professional Development Program</w:t>
      </w:r>
    </w:p>
    <w:p>
      <w:pPr>
        <w:pStyle w:val="ListParagraph"/>
        <w:numPr>
          <w:ilvl w:val="0"/>
          <w:numId w:val="2"/>
        </w:numPr>
      </w:pPr>
      <w:r>
        <w:t xml:space="preserve">Low-rated instructors (≤3.5): Intensive coaching on fundamental teaching competencies</w:t>
      </w:r>
    </w:p>
    <w:p>
      <w:pPr>
        <w:pStyle w:val="ListParagraph"/>
        <w:numPr>
          <w:ilvl w:val="0"/>
          <w:numId w:val="2"/>
        </w:numPr>
      </w:pPr>
      <w:r>
        <w:t xml:space="preserve">Mid-rated instructors (3.5-4.0): Specialized workshops addressing specific skill gaps</w:t>
      </w:r>
    </w:p>
    <w:p>
      <w:pPr>
        <w:pStyle w:val="ListParagraph"/>
        <w:numPr>
          <w:ilvl w:val="0"/>
          <w:numId w:val="2"/>
        </w:numPr>
      </w:pPr>
      <w:r>
        <w:t xml:space="preserve">High-rated instructors (&gt;4.0): Mentorship and best practice dissemination roles</w:t>
      </w:r>
    </w:p>
    <w:p>
      <w:pPr>
        <w:spacing w:after="240" w:before="120"/>
      </w:pPr>
      <w:r>
        <w:rPr>
          <w:b/>
          <w:bCs/>
        </w:rPr>
        <w:t xml:space="preserve">Timeline: </w:t>
      </w:r>
      <w:r>
        <w:t xml:space="preserve">Pilot program launch within 60 days, full rollout within 120 days</w:t>
      </w:r>
    </w:p>
    <w:p>
      <w:pPr>
        <w:pStyle w:val="Heading2"/>
      </w:pPr>
      <w:r>
        <w:t xml:space="preserve">Establish Data-Driven Quality Standards</w:t>
      </w:r>
    </w:p>
    <w:p>
      <w:pPr>
        <w:pStyle w:val="ListParagraph"/>
        <w:numPr>
          <w:ilvl w:val="0"/>
          <w:numId w:val="2"/>
        </w:numPr>
      </w:pPr>
      <w:r>
        <w:t xml:space="preserve">Codify characteristics of top performers into hiring rubrics</w:t>
      </w:r>
    </w:p>
    <w:p>
      <w:pPr>
        <w:pStyle w:val="ListParagraph"/>
        <w:numPr>
          <w:ilvl w:val="0"/>
          <w:numId w:val="2"/>
        </w:numPr>
      </w:pPr>
      <w:r>
        <w:t xml:space="preserve">Implement peer review process for course design and delivery</w:t>
      </w:r>
    </w:p>
    <w:p>
      <w:pPr>
        <w:pStyle w:val="ListParagraph"/>
        <w:numPr>
          <w:ilvl w:val="0"/>
          <w:numId w:val="2"/>
        </w:numPr>
      </w:pPr>
      <w:r>
        <w:t xml:space="preserve">Conduct quarterly quality audits with standardized metrics</w:t>
      </w:r>
    </w:p>
    <w:p>
      <w:pPr>
        <w:spacing w:after="360" w:before="120"/>
      </w:pPr>
      <w:r>
        <w:rPr>
          <w:b/>
          <w:bCs/>
        </w:rPr>
        <w:t xml:space="preserve">Timeline: </w:t>
      </w:r>
      <w:r>
        <w:t xml:space="preserve">Standards development within 90 days, implementation within 180 days</w:t>
      </w:r>
    </w:p>
    <w:p>
      <w:pPr>
        <w:shd w:fill="FFF4E6" w:val="clear"/>
        <w:spacing w:after="120" w:before="120"/>
      </w:pPr>
      <w:r>
        <w:rPr>
          <w:b/>
          <w:bCs/>
          <w:color w:val="E67E22"/>
          <w:sz w:val="26"/>
          <w:szCs w:val="26"/>
        </w:rPr>
        <w:t xml:space="preserve">Priority 2: MEDIUM - Strategic Importance</w:t>
      </w:r>
    </w:p>
    <w:p>
      <w:pPr>
        <w:pStyle w:val="Heading2"/>
      </w:pPr>
      <w:r>
        <w:t xml:space="preserve">Address Expertise-Specific Performance Gaps</w:t>
      </w:r>
    </w:p>
    <w:p>
      <w:pPr>
        <w:pStyle w:val="ListParagraph"/>
        <w:numPr>
          <w:ilvl w:val="0"/>
          <w:numId w:val="2"/>
        </w:numPr>
      </w:pPr>
      <w:r>
        <w:t xml:space="preserve">Develop specialized training for consistently underperforming domains</w:t>
      </w:r>
    </w:p>
    <w:p>
      <w:pPr>
        <w:pStyle w:val="ListParagraph"/>
        <w:numPr>
          <w:ilvl w:val="0"/>
          <w:numId w:val="2"/>
        </w:numPr>
      </w:pPr>
      <w:r>
        <w:t xml:space="preserve">Recruit subject matter experts for high-demand, low-supply areas</w:t>
      </w:r>
    </w:p>
    <w:p>
      <w:pPr>
        <w:pStyle w:val="ListParagraph"/>
        <w:numPr>
          <w:ilvl w:val="0"/>
          <w:numId w:val="2"/>
        </w:numPr>
      </w:pPr>
      <w:r>
        <w:t xml:space="preserve">Create domain-specific best practice repositories</w:t>
      </w:r>
    </w:p>
    <w:p>
      <w:pPr>
        <w:spacing w:after="240" w:before="120"/>
      </w:pPr>
      <w:r>
        <w:rPr>
          <w:b/>
          <w:bCs/>
        </w:rPr>
        <w:t xml:space="preserve">Timeline: </w:t>
      </w:r>
      <w:r>
        <w:t xml:space="preserve">Gap analysis within 90 days, targeted interventions within 180 days</w:t>
      </w:r>
    </w:p>
    <w:p>
      <w:pPr>
        <w:pStyle w:val="Heading2"/>
      </w:pPr>
      <w:r>
        <w:t xml:space="preserve">Reduce Star Performer Dependency</w:t>
      </w:r>
    </w:p>
    <w:p>
      <w:pPr>
        <w:pStyle w:val="ListParagraph"/>
        <w:numPr>
          <w:ilvl w:val="0"/>
          <w:numId w:val="2"/>
        </w:numPr>
      </w:pPr>
      <w:r>
        <w:t xml:space="preserve">Accelerated development for high-potential mid-tier instructors</w:t>
      </w:r>
    </w:p>
    <w:p>
      <w:pPr>
        <w:pStyle w:val="ListParagraph"/>
        <w:numPr>
          <w:ilvl w:val="0"/>
          <w:numId w:val="2"/>
        </w:numPr>
      </w:pPr>
      <w:r>
        <w:t xml:space="preserve">Succession planning for critical courses</w:t>
      </w:r>
    </w:p>
    <w:p>
      <w:pPr>
        <w:pStyle w:val="ListParagraph"/>
        <w:numPr>
          <w:ilvl w:val="0"/>
          <w:numId w:val="2"/>
        </w:numPr>
      </w:pPr>
      <w:r>
        <w:t xml:space="preserve">Retention programs for top performers</w:t>
      </w:r>
    </w:p>
    <w:p>
      <w:pPr>
        <w:spacing w:after="360" w:before="120"/>
      </w:pPr>
      <w:r>
        <w:rPr>
          <w:b/>
          <w:bCs/>
        </w:rPr>
        <w:t xml:space="preserve">Timeline: </w:t>
      </w:r>
      <w:r>
        <w:t xml:space="preserve">Ongoing initiative with quarterly reviews</w:t>
      </w:r>
    </w:p>
    <w:p>
      <w:pPr>
        <w:shd w:fill="E8F8F5" w:val="clear"/>
        <w:spacing w:after="120" w:before="120"/>
      </w:pPr>
      <w:r>
        <w:rPr>
          <w:b/>
          <w:bCs/>
          <w:color w:val="27AE60"/>
          <w:sz w:val="26"/>
          <w:szCs w:val="26"/>
        </w:rPr>
        <w:t xml:space="preserve">Priority 3: LOW - Continuous Improvement</w:t>
      </w:r>
    </w:p>
    <w:p>
      <w:pPr>
        <w:pStyle w:val="Heading2"/>
      </w:pPr>
      <w:r>
        <w:t xml:space="preserve">Deploy Real-Time Performance Monitoring</w:t>
      </w:r>
    </w:p>
    <w:p>
      <w:pPr>
        <w:pStyle w:val="ListParagraph"/>
        <w:numPr>
          <w:ilvl w:val="0"/>
          <w:numId w:val="2"/>
        </w:numPr>
      </w:pPr>
      <w:r>
        <w:t xml:space="preserve">Analytics dashboard for leadership with key metrics</w:t>
      </w:r>
    </w:p>
    <w:p>
      <w:pPr>
        <w:pStyle w:val="ListParagraph"/>
        <w:numPr>
          <w:ilvl w:val="0"/>
          <w:numId w:val="2"/>
        </w:numPr>
      </w:pPr>
      <w:r>
        <w:t xml:space="preserve">Automated alerts for performance drops</w:t>
      </w:r>
    </w:p>
    <w:p>
      <w:pPr>
        <w:pStyle w:val="ListParagraph"/>
        <w:numPr>
          <w:ilvl w:val="0"/>
          <w:numId w:val="2"/>
        </w:numPr>
      </w:pPr>
      <w:r>
        <w:t xml:space="preserve">Weekly performance reports for proactive intervention</w:t>
      </w:r>
    </w:p>
    <w:p>
      <w:pPr>
        <w:spacing w:after="240" w:before="120"/>
      </w:pPr>
      <w:r>
        <w:rPr>
          <w:b/>
          <w:bCs/>
        </w:rPr>
        <w:t xml:space="preserve">Timeline: </w:t>
      </w:r>
      <w:r>
        <w:t xml:space="preserve">Dashboard deployment within 120 days, full automation within 180 days</w:t>
      </w:r>
    </w:p>
    <w:p>
      <w:r>
        <w:br w:type="page"/>
      </w:r>
    </w:p>
    <w:p>
      <w:pPr>
        <w:pStyle w:val="Heading1"/>
      </w:pPr>
      <w:r>
        <w:t xml:space="preserve">Expected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Initiative</w:t>
            </w:r>
          </w:p>
        </w:tc>
        <w:tc>
          <w:tcPr>
            <w:tcW w:type="dxa" w:w="3120"/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Short-Term (6 months)</w:t>
            </w:r>
          </w:p>
        </w:tc>
        <w:tc>
          <w:tcPr>
            <w:tcW w:type="dxa" w:w="3120"/>
            <w:shd w:fill="1F47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Long-Term (12-18 months)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Professional Development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10-15% improvement in low-tier instructor ratings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25-30% reduction in rating variance</w:t>
            </w:r>
          </w:p>
        </w:tc>
      </w:tr>
      <w:tr>
        <w:tc>
          <w:tcPr>
            <w:tcW w:type="dxa" w:w="312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Quality Standards</w:t>
            </w:r>
          </w:p>
        </w:tc>
        <w:tc>
          <w:tcPr>
            <w:tcW w:type="dxa" w:w="312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5-8% increase in average course ratings</w:t>
            </w:r>
          </w:p>
        </w:tc>
        <w:tc>
          <w:tcPr>
            <w:tcW w:type="dxa" w:w="312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Standardized quality across all categories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Expertise Gap Resolution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 improvement in targeted domains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Balanced quality across all expertise areas</w:t>
            </w:r>
          </w:p>
        </w:tc>
      </w:tr>
      <w:tr>
        <w:tc>
          <w:tcPr>
            <w:tcW w:type="dxa" w:w="312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Performance Monitoring</w:t>
            </w:r>
          </w:p>
        </w:tc>
        <w:tc>
          <w:tcPr>
            <w:tcW w:type="dxa" w:w="312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Early detection of quality issues</w:t>
            </w:r>
          </w:p>
        </w:tc>
        <w:tc>
          <w:tcPr>
            <w:tcW w:type="dxa" w:w="3120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Proactive quality maintenance culture</w:t>
            </w:r>
          </w:p>
        </w:tc>
      </w:tr>
    </w:tbl>
    <w:p>
      <w:pPr>
        <w:spacing w:before="360"/>
      </w:pPr>
    </w:p>
    <w:p>
      <w:pPr>
        <w:pStyle w:val="Heading1"/>
      </w:pPr>
      <w:r>
        <w:t xml:space="preserve">Immediate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1-2: </w:t>
      </w:r>
      <w:r>
        <w:t xml:space="preserve">Form implementation task force, allocate budget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3-4: </w:t>
      </w:r>
      <w:r>
        <w:t xml:space="preserve">Design professional development curriculum, define quality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5-8: </w:t>
      </w:r>
      <w:r>
        <w:t xml:space="preserve">Pilot tiered training program with selected cohorts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 9-12: </w:t>
      </w:r>
      <w:r>
        <w:t xml:space="preserve">Evaluate pilot results, refine approach, begin full rollout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Ongoing: </w:t>
      </w:r>
      <w:r>
        <w:t xml:space="preserve">Monthly progress reviews, quarterly impact assessments</w:t>
      </w:r>
    </w:p>
    <w:p>
      <w:pPr>
        <w:spacing w:before="480"/>
      </w:pPr>
    </w:p>
    <w:p>
      <w:pPr>
        <w:pBdr>
          <w:top w:val="single" w:color="1F4788" w:sz="12" w:space="1"/>
        </w:pBdr>
        <w:spacing w:after="240" w:before="360"/>
        <w:jc w:val="center"/>
      </w:pPr>
      <w:r>
        <w:rPr>
          <w:i/>
          <w:iCs/>
          <w:sz w:val="22"/>
          <w:szCs w:val="22"/>
        </w:rPr>
        <w:t xml:space="preserve">Implementation of these recommendations will position EduPro as a data-driven leader in online education quality, enhancing learner satisfaction, improving course outcomes, and strengthening competitive advantage in the rapidly evolving edtech market.</w:t>
      </w:r>
    </w:p>
    <w:p>
      <w:pPr>
        <w:spacing w:before="360"/>
        <w:jc w:val="center"/>
      </w:pPr>
      <w:r>
        <w:rPr>
          <w:color w:val="999999"/>
          <w:sz w:val="20"/>
          <w:szCs w:val="20"/>
        </w:rPr>
        <w:t xml:space="preserve">For detailed analysis, methodology, and visualizations, refer to the complete Research Paper and interactive Streamlit Dashboard.</w:t>
      </w:r>
    </w:p>
    <w:p>
      <w:pPr>
        <w:spacing w:before="120"/>
        <w:jc w:val="center"/>
      </w:pPr>
      <w:r>
        <w:rPr>
          <w:i/>
          <w:iCs/>
          <w:color w:val="999999"/>
          <w:sz w:val="20"/>
          <w:szCs w:val="20"/>
        </w:rPr>
        <w:t xml:space="preserve">Unified Mentor Data Analytics Program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1F47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2026-04-14T11:28:35.311Z</dcterms:created>
  <dcterms:modified xsi:type="dcterms:W3CDTF">2026-04-14T11:28:35.313Z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