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12" w:lineRule="auto"/>
      </w:pPr>
      <w:r>
        <w:rPr>
          <w:i w:val="0"/>
          <w:sz w:val="22"/>
        </w:rPr>
        <w:t>Dear &lt;&lt;First Name&gt;&gt;,</w:t>
      </w:r>
    </w:p>
    <w:p>
      <w:pPr>
        <w:spacing w:after="200" w:line="312" w:lineRule="auto"/>
      </w:pPr>
      <w:r>
        <w:rPr>
          <w:i w:val="0"/>
          <w:sz w:val="22"/>
        </w:rPr>
        <w:t>Hope this message finds you in good spirits.</w:t>
      </w:r>
    </w:p>
    <w:p>
      <w:pPr>
        <w:spacing w:after="200" w:line="312" w:lineRule="auto"/>
      </w:pPr>
      <w:r>
        <w:rPr>
          <w:i w:val="0"/>
          <w:sz w:val="22"/>
        </w:rPr>
        <w:t>There's a quiet thread running through this edition: a movement rooted in one place rarely stays there — it travels. A film born in the villages of Bihar finds its way to Los Angeles and the ABBY stage. The same question asked on the streets of Anekal — does every child have a school worth believing in? — is the one carried into a room in San Francisco and a long table at Oxford. What holds it together is ownership: parents, teachers, youth, communities, partners, and the diaspora, each beginning to see themselves as co-owners of public education's future.</w:t>
      </w:r>
    </w:p>
    <w:p>
      <w:pPr>
        <w:spacing w:after="200" w:line="312" w:lineRule="auto"/>
      </w:pPr>
      <w:r>
        <w:rPr>
          <w:i w:val="0"/>
          <w:sz w:val="22"/>
        </w:rPr>
        <w:t>This is what Shikshagraha looks like in action — across chaupals, streets, and convenings, here and across the world. This edition is yet another window into the movement, in practice.</w:t>
      </w:r>
    </w:p>
    <w:p>
      <w:pPr>
        <w:spacing w:after="200" w:line="312" w:lineRule="auto"/>
      </w:pPr>
      <w:r>
        <w:rPr>
          <w:i/>
          <w:sz w:val="22"/>
        </w:rPr>
        <w:t>Happy reading...</w:t>
      </w:r>
    </w:p>
    <w:p>
      <w:pPr>
        <w:spacing w:before="200" w:after="280"/>
        <w:jc w:val="center"/>
      </w:pPr>
      <w:r>
        <w:rPr>
          <w:color w:val="555555"/>
        </w:rPr>
        <w:t>• • •</w:t>
      </w:r>
    </w:p>
    <w:tbl>
      <w:tblPr>
        <w:tblStyle w:val="TableGrid"/>
        <w:tblW w:type="auto" w:w="0"/>
        <w:jc w:val="center"/>
        <w:tblLook w:firstColumn="1" w:firstRow="1" w:lastColumn="0" w:lastRow="0" w:noHBand="0" w:noVBand="1" w:val="04A0"/>
      </w:tblPr>
      <w:tblGrid>
        <w:gridCol w:w="8640"/>
      </w:tblGrid>
      <w:tr>
        <w:tc>
          <w:tcPr>
            <w:tcW w:type="dxa" w:w="8640"/>
          </w:tcPr>
          <w:p>
            <w:pPr>
              <w:spacing w:before="560" w:after="560"/>
              <w:jc w:val="center"/>
            </w:pPr>
            <w:r>
              <w:rPr>
                <w:i/>
                <w:color w:val="555555"/>
                <w:sz w:val="20"/>
              </w:rPr>
              <w:t>[ IMAGE — Mothers of Courage ]</w:t>
            </w:r>
          </w:p>
        </w:tc>
      </w:tr>
    </w:tbl>
    <w:p>
      <w:pPr>
        <w:spacing w:after="80"/>
      </w:pPr>
    </w:p>
    <w:p>
      <w:pPr>
        <w:spacing w:before="120" w:after="160"/>
      </w:pPr>
      <w:r>
        <w:rPr>
          <w:b/>
          <w:color w:val="1A1A1A"/>
          <w:sz w:val="30"/>
        </w:rPr>
        <w:t>From Bihar's Villages to the World's Stages: Mothers of Courage</w:t>
      </w:r>
    </w:p>
    <w:p>
      <w:pPr>
        <w:spacing w:after="200" w:line="312" w:lineRule="auto"/>
      </w:pPr>
      <w:r>
        <w:rPr>
          <w:i w:val="0"/>
          <w:sz w:val="22"/>
        </w:rPr>
        <w:t>Mothers of Courage — the film following Bihar's Shiksha Chaupals — has won Silver in the SDG category at the ABBY Awards 2026, adding to Best Inspirational Film at the Los Angeles Film Awards and a feature at the Cannes Lions ERA Programme. The News Minute went behind the film: a crew that lived alongside these women until the camera all but disappeared and the real conversations began. 28,000+ Chaupals. 14 districts. 8 lakh+ people moved to act.</w:t>
      </w:r>
    </w:p>
    <w:p>
      <w:pPr>
        <w:spacing w:after="40" w:line="312" w:lineRule="auto"/>
      </w:pPr>
      <w:r>
        <w:rPr>
          <w:i w:val="0"/>
          <w:color w:val="B5491F"/>
          <w:sz w:val="20"/>
        </w:rPr>
        <w:t>Read The News Minute coverage: https://lnkd.in/gnMtBJkg</w:t>
      </w:r>
    </w:p>
    <w:p>
      <w:pPr>
        <w:spacing w:after="200" w:line="312" w:lineRule="auto"/>
      </w:pPr>
      <w:r>
        <w:rPr>
          <w:i w:val="0"/>
          <w:color w:val="B5491F"/>
          <w:sz w:val="20"/>
        </w:rPr>
        <w:t>Support the mothers leading this change — donate: https://bit.ly/49eRUgk</w:t>
      </w:r>
    </w:p>
    <w:p>
      <w:pPr>
        <w:spacing w:before="200" w:after="280"/>
        <w:jc w:val="center"/>
      </w:pPr>
      <w:r>
        <w:rPr>
          <w:color w:val="555555"/>
        </w:rPr>
        <w:t>• • •</w:t>
      </w:r>
    </w:p>
    <w:tbl>
      <w:tblPr>
        <w:tblStyle w:val="TableGrid"/>
        <w:tblW w:type="auto" w:w="0"/>
        <w:jc w:val="center"/>
        <w:tblLook w:firstColumn="1" w:firstRow="1" w:lastColumn="0" w:lastRow="0" w:noHBand="0" w:noVBand="1" w:val="04A0"/>
      </w:tblPr>
      <w:tblGrid>
        <w:gridCol w:w="8640"/>
      </w:tblGrid>
      <w:tr>
        <w:tc>
          <w:tcPr>
            <w:tcW w:type="dxa" w:w="8640"/>
          </w:tcPr>
          <w:p>
            <w:pPr>
              <w:spacing w:before="560" w:after="560"/>
              <w:jc w:val="center"/>
            </w:pPr>
            <w:r>
              <w:rPr>
                <w:i/>
                <w:color w:val="555555"/>
                <w:sz w:val="20"/>
              </w:rPr>
              <w:t>[ IMAGE — Anekal street march ]</w:t>
            </w:r>
          </w:p>
        </w:tc>
      </w:tr>
    </w:tbl>
    <w:p>
      <w:pPr>
        <w:spacing w:after="80"/>
      </w:pPr>
    </w:p>
    <w:p>
      <w:pPr>
        <w:spacing w:before="120" w:after="160"/>
      </w:pPr>
      <w:r>
        <w:rPr>
          <w:b/>
          <w:color w:val="1A1A1A"/>
          <w:sz w:val="30"/>
        </w:rPr>
        <w:t>Every Child to School: Anekal Takes the Message to the Streets</w:t>
      </w:r>
    </w:p>
    <w:p>
      <w:pPr>
        <w:spacing w:after="200" w:line="312" w:lineRule="auto"/>
      </w:pPr>
      <w:r>
        <w:rPr>
          <w:i w:val="0"/>
          <w:sz w:val="22"/>
        </w:rPr>
        <w:t>On 29 May, over 350 people — government officials, NGOs, teachers, youth leaders, and community members — took to the streets of Anekal for every child's right to free, equal, quality education. Youth led the way: 55+ young leaders made placards, hoardings, and recorded enrolment messages. Slogans like “Every Child to School” and “Government Schools, Our Pride” spread through local media and community networks well beyond the day.</w:t>
      </w:r>
    </w:p>
    <w:p>
      <w:pPr>
        <w:spacing w:after="200" w:line="312" w:lineRule="auto"/>
      </w:pPr>
      <w:r>
        <w:rPr>
          <w:i w:val="0"/>
          <w:color w:val="B5491F"/>
          <w:sz w:val="20"/>
        </w:rPr>
        <w:t>[CTA link — to be shared]</w:t>
      </w:r>
    </w:p>
    <w:p>
      <w:pPr>
        <w:spacing w:before="200" w:after="280"/>
        <w:jc w:val="center"/>
      </w:pPr>
      <w:r>
        <w:rPr>
          <w:color w:val="555555"/>
        </w:rPr>
        <w:t>• • •</w:t>
      </w:r>
    </w:p>
    <w:tbl>
      <w:tblPr>
        <w:tblStyle w:val="TableGrid"/>
        <w:tblW w:type="auto" w:w="0"/>
        <w:jc w:val="center"/>
        <w:tblLook w:firstColumn="1" w:firstRow="1" w:lastColumn="0" w:lastRow="0" w:noHBand="0" w:noVBand="1" w:val="04A0"/>
      </w:tblPr>
      <w:tblGrid>
        <w:gridCol w:w="8640"/>
      </w:tblGrid>
      <w:tr>
        <w:tc>
          <w:tcPr>
            <w:tcW w:type="dxa" w:w="8640"/>
          </w:tcPr>
          <w:p>
            <w:pPr>
              <w:spacing w:before="560" w:after="560"/>
              <w:jc w:val="center"/>
            </w:pPr>
            <w:r>
              <w:rPr>
                <w:i/>
                <w:color w:val="555555"/>
                <w:sz w:val="20"/>
              </w:rPr>
              <w:t>[ IMAGE — Unbundling Evaluation forum ]</w:t>
            </w:r>
          </w:p>
        </w:tc>
      </w:tr>
    </w:tbl>
    <w:p>
      <w:pPr>
        <w:spacing w:after="80"/>
      </w:pPr>
    </w:p>
    <w:p>
      <w:pPr>
        <w:spacing w:before="120" w:after="160"/>
      </w:pPr>
      <w:r>
        <w:rPr>
          <w:b/>
          <w:color w:val="1A1A1A"/>
          <w:sz w:val="30"/>
        </w:rPr>
        <w:t>Unbundling Evaluation: Communities at the Centre of How We Learn</w:t>
      </w:r>
    </w:p>
    <w:p>
      <w:pPr>
        <w:spacing w:after="200" w:line="312" w:lineRule="auto"/>
      </w:pPr>
      <w:r>
        <w:rPr>
          <w:i w:val="0"/>
          <w:sz w:val="22"/>
        </w:rPr>
        <w:t>As part of GLOCAL Evaluation Week, the Centre for Exponential Change, ShikshaLokam, and CoLab hosted “Unbundling Evaluation” — a “one-size-fits-one” forum on closing the gap between evaluation theory and practice. Three insights stood out: sensemaking is the most under-resourced step in qualitative research; feedback loops are rarely closed with the communities who provide the data; and impact measurement too often misses the relational milestones that matter most — a first referral, a gained sense of identity.</w:t>
      </w:r>
    </w:p>
    <w:p>
      <w:pPr>
        <w:spacing w:after="200" w:line="312" w:lineRule="auto"/>
      </w:pPr>
      <w:r>
        <w:rPr>
          <w:i w:val="0"/>
          <w:color w:val="B5491F"/>
          <w:sz w:val="20"/>
        </w:rPr>
        <w:t>[CTA link — to be shared]</w:t>
      </w:r>
    </w:p>
    <w:p>
      <w:pPr>
        <w:spacing w:before="200" w:after="280"/>
        <w:jc w:val="center"/>
      </w:pPr>
      <w:r>
        <w:rPr>
          <w:color w:val="555555"/>
        </w:rPr>
        <w:t>• • •</w:t>
      </w:r>
    </w:p>
    <w:tbl>
      <w:tblPr>
        <w:tblStyle w:val="TableGrid"/>
        <w:tblW w:type="auto" w:w="0"/>
        <w:jc w:val="center"/>
        <w:tblLook w:firstColumn="1" w:firstRow="1" w:lastColumn="0" w:lastRow="0" w:noHBand="0" w:noVBand="1" w:val="04A0"/>
      </w:tblPr>
      <w:tblGrid>
        <w:gridCol w:w="8640"/>
      </w:tblGrid>
      <w:tr>
        <w:tc>
          <w:tcPr>
            <w:tcW w:type="dxa" w:w="8640"/>
          </w:tcPr>
          <w:p>
            <w:pPr>
              <w:spacing w:before="560" w:after="560"/>
              <w:jc w:val="center"/>
            </w:pPr>
            <w:r>
              <w:rPr>
                <w:i/>
                <w:color w:val="555555"/>
                <w:sz w:val="20"/>
              </w:rPr>
              <w:t>[ IMAGE — MItra ]</w:t>
            </w:r>
          </w:p>
        </w:tc>
      </w:tr>
    </w:tbl>
    <w:p>
      <w:pPr>
        <w:spacing w:after="80"/>
      </w:pPr>
    </w:p>
    <w:p>
      <w:pPr>
        <w:spacing w:before="120" w:after="160"/>
      </w:pPr>
      <w:r>
        <w:rPr>
          <w:b/>
          <w:color w:val="1A1A1A"/>
          <w:sz w:val="30"/>
        </w:rPr>
        <w:t>Stories That Matter: A Tool That Listens Like a Friend</w:t>
      </w:r>
    </w:p>
    <w:p>
      <w:pPr>
        <w:spacing w:after="200" w:line="312" w:lineRule="auto"/>
      </w:pPr>
      <w:r>
        <w:rPr>
          <w:i w:val="0"/>
          <w:sz w:val="22"/>
        </w:rPr>
        <w:t>India's 1.5 lakh schools sit on a goldmine of solutions — but they stay locked where they were born. The teacher in Nagaland never hears the attendance trick from Karnataka; the mother in Bihar doesn't know hundreds of others are fighting the same battle elsewhere. So we built MItra — a voice-enabled tool that lets school, community, and youth leaders share their micro-improvements in their own language, turning quiet conversations into stories worth learning from. An education leader's friend.</w:t>
      </w:r>
    </w:p>
    <w:p>
      <w:pPr>
        <w:spacing w:after="200" w:line="312" w:lineRule="auto"/>
      </w:pPr>
      <w:r>
        <w:rPr>
          <w:i/>
          <w:sz w:val="22"/>
        </w:rPr>
        <w:t>First in our three-part series, Stories That Matter.</w:t>
      </w:r>
    </w:p>
    <w:p>
      <w:pPr>
        <w:spacing w:after="200" w:line="312" w:lineRule="auto"/>
      </w:pPr>
      <w:r>
        <w:rPr>
          <w:i w:val="0"/>
          <w:color w:val="B5491F"/>
          <w:sz w:val="20"/>
        </w:rPr>
        <w:t>[CTA link — to be shared]</w:t>
      </w:r>
    </w:p>
    <w:p>
      <w:pPr>
        <w:spacing w:before="200" w:after="280"/>
        <w:jc w:val="center"/>
      </w:pPr>
      <w:r>
        <w:rPr>
          <w:color w:val="555555"/>
        </w:rPr>
        <w:t>• • •</w:t>
      </w:r>
    </w:p>
    <w:tbl>
      <w:tblPr>
        <w:tblStyle w:val="TableGrid"/>
        <w:tblW w:type="auto" w:w="0"/>
        <w:jc w:val="center"/>
        <w:tblLook w:firstColumn="1" w:firstRow="1" w:lastColumn="0" w:lastRow="0" w:noHBand="0" w:noVBand="1" w:val="04A0"/>
      </w:tblPr>
      <w:tblGrid>
        <w:gridCol w:w="8640"/>
      </w:tblGrid>
      <w:tr>
        <w:tc>
          <w:tcPr>
            <w:tcW w:type="dxa" w:w="8640"/>
          </w:tcPr>
          <w:p>
            <w:pPr>
              <w:spacing w:before="560" w:after="560"/>
              <w:jc w:val="center"/>
            </w:pPr>
            <w:r>
              <w:rPr>
                <w:i/>
                <w:color w:val="555555"/>
                <w:sz w:val="20"/>
              </w:rPr>
              <w:t>[ IMAGE — Portola Valley &amp; Skoll ]</w:t>
            </w:r>
          </w:p>
        </w:tc>
      </w:tr>
    </w:tbl>
    <w:p>
      <w:pPr>
        <w:spacing w:after="80"/>
      </w:pPr>
    </w:p>
    <w:p>
      <w:pPr>
        <w:spacing w:before="120" w:after="160"/>
      </w:pPr>
      <w:r>
        <w:rPr>
          <w:b/>
          <w:color w:val="1A1A1A"/>
          <w:sz w:val="30"/>
        </w:rPr>
        <w:t>From Portola Valley to Oxford: Shikshagraha in Global Conversation</w:t>
      </w:r>
    </w:p>
    <w:p>
      <w:pPr>
        <w:spacing w:after="200" w:line="312" w:lineRule="auto"/>
      </w:pPr>
      <w:r>
        <w:rPr>
          <w:i w:val="0"/>
          <w:sz w:val="22"/>
        </w:rPr>
        <w:t>In Portola Valley, San Francisco, philanthropists, entrepreneurs, tech leaders, and members of the Indian diaspora gathered around one question: what will it take for every child in India's one million schools to be future-ready? The room invited the diaspora in as active partners, not distant supporters — with Mantra4Change US building bridges of collective action across geographies.</w:t>
      </w:r>
    </w:p>
    <w:p>
      <w:pPr>
        <w:spacing w:after="200" w:line="312" w:lineRule="auto"/>
      </w:pPr>
      <w:r>
        <w:rPr>
          <w:i w:val="0"/>
          <w:sz w:val="22"/>
        </w:rPr>
        <w:t>Weeks later, at the Skoll World Forum in Oxford, Shikshagraha co-convened Education House with Teach For All, Salzburg Global, and Global Schools Forum (200+ participants), alongside a research roundtable with the Government Outcomes Lab and a listening circle with the Schwab Foundation and Synergos. The week opened doors to 30+ new partners.</w:t>
      </w:r>
    </w:p>
    <w:p>
      <w:pPr>
        <w:spacing w:after="200" w:line="312" w:lineRule="auto"/>
      </w:pPr>
      <w:r>
        <w:rPr>
          <w:i w:val="0"/>
          <w:color w:val="B5491F"/>
          <w:sz w:val="20"/>
        </w:rPr>
        <w:t>[CTA link — to be shared]</w:t>
      </w:r>
    </w:p>
    <w:p>
      <w:pPr>
        <w:spacing w:before="200" w:after="280"/>
        <w:jc w:val="center"/>
      </w:pPr>
      <w:r>
        <w:rPr>
          <w:color w:val="555555"/>
        </w:rPr>
        <w:t>• • •</w:t>
      </w:r>
    </w:p>
    <w:p>
      <w:pPr>
        <w:spacing w:after="80" w:line="312" w:lineRule="auto"/>
      </w:pPr>
      <w:r>
        <w:rPr>
          <w:i/>
          <w:color w:val="555555"/>
          <w:sz w:val="22"/>
        </w:rPr>
        <w:t>Stay updated on the latest stories in education leadership. Follow us!</w:t>
      </w:r>
    </w:p>
    <w:p>
      <w:pPr>
        <w:spacing w:after="80" w:line="312" w:lineRule="auto"/>
      </w:pPr>
      <w:r>
        <w:rPr>
          <w:i w:val="0"/>
          <w:sz w:val="20"/>
        </w:rPr>
        <w:t>LinkedIn · YouTube · Website · Spotify · Twitter</w:t>
      </w:r>
    </w:p>
    <w:p>
      <w:pPr>
        <w:spacing w:after="80" w:line="312" w:lineRule="auto"/>
      </w:pPr>
      <w:r>
        <w:rPr>
          <w:i w:val="0"/>
          <w:color w:val="555555"/>
          <w:sz w:val="20"/>
        </w:rPr>
        <w:t>Write to us with your feedback at social@shikshalokam.org</w:t>
      </w:r>
    </w:p>
    <w:p>
      <w:pPr>
        <w:spacing w:after="280" w:line="312" w:lineRule="auto"/>
      </w:pPr>
      <w:r>
        <w:rPr>
          <w:i w:val="0"/>
          <w:color w:val="555555"/>
          <w:sz w:val="18"/>
        </w:rPr>
        <w:t>To unsubscribe, reply with a 'U' to this email.</w:t>
      </w:r>
    </w:p>
    <w:p>
      <w:pPr>
        <w:spacing w:after="40" w:line="312" w:lineRule="auto"/>
      </w:pPr>
      <w:r>
        <w:rPr>
          <w:i w:val="0"/>
          <w:sz w:val="22"/>
        </w:rPr>
        <w:t>Warm regards,</w:t>
      </w:r>
    </w:p>
    <w:p>
      <w:r>
        <w:rPr>
          <w:b/>
        </w:rPr>
        <w:t>Khushboo Awasthi</w:t>
      </w:r>
    </w:p>
    <w:p>
      <w:pPr>
        <w:spacing w:after="200" w:line="312" w:lineRule="auto"/>
      </w:pPr>
      <w:r>
        <w:rPr>
          <w:i w:val="0"/>
          <w:color w:val="555555"/>
          <w:sz w:val="20"/>
        </w:rPr>
        <w:t>Chief Curator, Shikshagraha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