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color w:val="2E4057"/>
          <w:sz w:val="52"/>
          <w:szCs w:val="52"/>
        </w:rPr>
        <w:t xml:space="preserve">ARCHITECTURE.md</w:t>
      </w:r>
    </w:p>
    <w:p>
      <w:pPr>
        <w:spacing w:before="0" w:after="400"/>
      </w:pPr>
      <w:r>
        <w:rPr>
          <w:rFonts w:ascii="Arial" w:cs="Arial" w:eastAsia="Arial" w:hAnsi="Arial"/>
          <w:color w:val="666666"/>
          <w:sz w:val="24"/>
          <w:szCs w:val="24"/>
        </w:rPr>
        <w:t xml:space="preserve">Customer Risk API  ·  Version 1.0  ·  Architecture A: Single FastAPI Container</w:t>
      </w:r>
    </w:p>
    <w:p>
      <w:pPr>
        <w:pStyle w:val="Heading1"/>
        <w:pBdr>
          <w:bottom w:val="single" w:color="2E4057" w:sz="6" w:space="1"/>
        </w:pBdr>
        <w:spacing w:before="400" w:after="160"/>
      </w:pPr>
      <w:r>
        <w:rPr>
          <w:rFonts w:ascii="Arial" w:cs="Arial" w:eastAsia="Arial" w:hAnsi="Arial"/>
        </w:rPr>
        <w:t xml:space="preserve">1. Problem Framing</w:t>
      </w:r>
    </w:p>
    <w:p>
      <w:pPr>
        <w:pStyle w:val="Heading2"/>
        <w:spacing w:before="300" w:after="120"/>
      </w:pPr>
      <w:r>
        <w:rPr>
          <w:rFonts w:ascii="Arial" w:cs="Arial" w:eastAsia="Arial" w:hAnsi="Arial"/>
        </w:rPr>
        <w:t xml:space="preserve">What the system solves</w:t>
      </w:r>
    </w:p>
    <w:p>
      <w:pPr>
        <w:spacing w:before="80" w:after="80"/>
      </w:pPr>
      <w:r>
        <w:rPr>
          <w:rFonts w:ascii="Arial" w:cs="Arial" w:eastAsia="Arial" w:hAnsi="Arial"/>
          <w:sz w:val="22"/>
          <w:szCs w:val="22"/>
        </w:rPr>
        <w:t xml:space="preserve">Internal operations staff currently access customer risk tier data through ad-hoc SQL queries run directly against a Postgres database. This creates three compounding problems: there is no stable interface contract, so query logic drifts between analysts; there are no access controls, so the database is exposed to anyone with credentials; and there is no structured output, so downstream tools cannot reliably consume the data.</w:t>
      </w:r>
    </w:p>
    <w:p>
      <w:pPr>
        <w:spacing w:before="80" w:after="80"/>
      </w:pPr>
      <w:r>
        <w:rPr>
          <w:rFonts w:ascii="Arial" w:cs="Arial" w:eastAsia="Arial" w:hAnsi="Arial"/>
          <w:sz w:val="22"/>
          <w:szCs w:val="22"/>
        </w:rPr>
        <w:t xml:space="preserve">This system introduces a defined HTTP interface that wraps the risk data behind authentication, returns a consistent JSON schema, and provides a browser UI so operations staff can perform lookups without any technical knowledge. The database becomes an implementation detail rather than a shared interface.</w:t>
      </w:r>
    </w:p>
    <w:p>
      <w:pPr>
        <w:spacing w:before="100" w:after="100"/>
      </w:pPr>
      <w:r>
        <w:t xml:space="preserve"/>
      </w:r>
    </w:p>
    <w:p>
      <w:pPr>
        <w:pStyle w:val="Heading2"/>
        <w:spacing w:before="300" w:after="120"/>
      </w:pPr>
      <w:r>
        <w:rPr>
          <w:rFonts w:ascii="Arial" w:cs="Arial" w:eastAsia="Arial" w:hAnsi="Arial"/>
        </w:rPr>
        <w:t xml:space="preserve">What the system explicitly does not solve</w:t>
      </w:r>
    </w:p>
    <w:p>
      <w:pPr>
        <w:pStyle w:val="ListParagraph"/>
        <w:numPr>
          <w:ilvl w:val="0"/>
          <w:numId w:val="2"/>
        </w:numPr>
        <w:spacing w:before="60" w:after="60"/>
      </w:pPr>
      <w:r>
        <w:rPr>
          <w:rFonts w:ascii="Arial" w:cs="Arial" w:eastAsia="Arial" w:hAnsi="Arial"/>
          <w:sz w:val="22"/>
          <w:szCs w:val="22"/>
        </w:rPr>
        <w:t xml:space="preserve">Risk computation or assessment — the database is pre-populated with assessed values; this system only surfaces them</w:t>
      </w:r>
    </w:p>
    <w:p>
      <w:pPr>
        <w:pStyle w:val="ListParagraph"/>
        <w:numPr>
          <w:ilvl w:val="0"/>
          <w:numId w:val="2"/>
        </w:numPr>
        <w:spacing w:before="60" w:after="60"/>
      </w:pPr>
      <w:r>
        <w:rPr>
          <w:rFonts w:ascii="Arial" w:cs="Arial" w:eastAsia="Arial" w:hAnsi="Arial"/>
          <w:sz w:val="22"/>
          <w:szCs w:val="22"/>
        </w:rPr>
        <w:t xml:space="preserve">User management, role-based access, or per-consumer API keys</w:t>
      </w:r>
    </w:p>
    <w:p>
      <w:pPr>
        <w:pStyle w:val="ListParagraph"/>
        <w:numPr>
          <w:ilvl w:val="0"/>
          <w:numId w:val="2"/>
        </w:numPr>
        <w:spacing w:before="60" w:after="60"/>
      </w:pPr>
      <w:r>
        <w:rPr>
          <w:rFonts w:ascii="Arial" w:cs="Arial" w:eastAsia="Arial" w:hAnsi="Arial"/>
          <w:sz w:val="22"/>
          <w:szCs w:val="22"/>
        </w:rPr>
        <w:t xml:space="preserve">Write or update operations of any kind — the system is strictly read-only</w:t>
      </w:r>
    </w:p>
    <w:p>
      <w:pPr>
        <w:pStyle w:val="ListParagraph"/>
        <w:numPr>
          <w:ilvl w:val="0"/>
          <w:numId w:val="2"/>
        </w:numPr>
        <w:spacing w:before="60" w:after="60"/>
      </w:pPr>
      <w:r>
        <w:rPr>
          <w:rFonts w:ascii="Arial" w:cs="Arial" w:eastAsia="Arial" w:hAnsi="Arial"/>
          <w:sz w:val="22"/>
          <w:szCs w:val="22"/>
        </w:rPr>
        <w:t xml:space="preserve">Production hardening: TLS termination, rate limiting, secrets management at scale, audit logging</w:t>
      </w:r>
    </w:p>
    <w:p>
      <w:pPr>
        <w:pStyle w:val="ListParagraph"/>
        <w:numPr>
          <w:ilvl w:val="0"/>
          <w:numId w:val="2"/>
        </w:numPr>
        <w:spacing w:before="60" w:after="60"/>
      </w:pPr>
      <w:r>
        <w:rPr>
          <w:rFonts w:ascii="Arial" w:cs="Arial" w:eastAsia="Arial" w:hAnsi="Arial"/>
          <w:sz w:val="22"/>
          <w:szCs w:val="22"/>
        </w:rPr>
        <w:t xml:space="preserve">Any external data sources — all data is local and self-contained</w:t>
      </w:r>
    </w:p>
    <w:p>
      <w:pPr>
        <w:spacing w:before="100" w:after="100"/>
      </w:pPr>
      <w:r>
        <w:t xml:space="preserve"/>
      </w:r>
    </w:p>
    <w:p>
      <w:pPr>
        <w:pStyle w:val="Heading1"/>
        <w:pBdr>
          <w:bottom w:val="single" w:color="2E4057" w:sz="6" w:space="1"/>
        </w:pBdr>
        <w:spacing w:before="400" w:after="160"/>
      </w:pPr>
      <w:r>
        <w:rPr>
          <w:rFonts w:ascii="Arial" w:cs="Arial" w:eastAsia="Arial" w:hAnsi="Arial"/>
        </w:rPr>
        <w:t xml:space="preserve">2. Five Key Design Decisions</w:t>
      </w:r>
    </w:p>
    <w:p>
      <w:pPr>
        <w:pStyle w:val="Heading2"/>
        <w:spacing w:before="300" w:after="120"/>
      </w:pPr>
      <w:r>
        <w:rPr>
          <w:rFonts w:ascii="Arial" w:cs="Arial" w:eastAsia="Arial" w:hAnsi="Arial"/>
        </w:rPr>
        <w:t xml:space="preserve">Decision 1: Single FastAPI container serves both the API and the UI proxy</w:t>
      </w:r>
    </w:p>
    <w:p>
      <w:pPr>
        <w:spacing w:before="80" w:after="80"/>
      </w:pPr>
      <w:r>
        <w:rPr>
          <w:rFonts w:ascii="Arial" w:cs="Arial" w:eastAsia="Arial" w:hAnsi="Arial"/>
          <w:b/>
          <w:bCs/>
          <w:sz w:val="22"/>
          <w:szCs w:val="22"/>
        </w:rPr>
        <w:t xml:space="preserve">Decision: </w:t>
      </w:r>
      <w:r>
        <w:rPr>
          <w:rFonts w:ascii="Arial" w:cs="Arial" w:eastAsia="Arial" w:hAnsi="Arial"/>
          <w:sz w:val="22"/>
          <w:szCs w:val="22"/>
        </w:rPr>
        <w:t xml:space="preserve">One FastAPI container handles all application concerns: the protected API endpoint, the browser-facing proxy route, and serving the static HTML file.</w:t>
      </w:r>
    </w:p>
    <w:p>
      <w:pPr>
        <w:spacing w:before="80" w:after="80"/>
      </w:pPr>
      <w:r>
        <w:rPr>
          <w:rFonts w:ascii="Arial" w:cs="Arial" w:eastAsia="Arial" w:hAnsi="Arial"/>
          <w:b/>
          <w:bCs/>
          <w:sz w:val="22"/>
          <w:szCs w:val="22"/>
        </w:rPr>
        <w:t xml:space="preserve">Rationale: </w:t>
      </w:r>
      <w:r>
        <w:rPr>
          <w:rFonts w:ascii="Arial" w:cs="Arial" w:eastAsia="Arial" w:hAnsi="Arial"/>
          <w:sz w:val="22"/>
          <w:szCs w:val="22"/>
        </w:rPr>
        <w:t xml:space="preserve">Keeps the system to two containers (FastAPI + Postgres), minimising orchestration complexity while still fully resolving the API key exposure problem. All application logic lives in one codebase, one log stream, and one process.</w:t>
      </w:r>
    </w:p>
    <w:p>
      <w:pPr>
        <w:spacing w:before="80" w:after="80"/>
      </w:pPr>
      <w:r>
        <w:rPr>
          <w:rFonts w:ascii="Arial" w:cs="Arial" w:eastAsia="Arial" w:hAnsi="Arial"/>
          <w:b/>
          <w:bCs/>
          <w:sz w:val="22"/>
          <w:szCs w:val="22"/>
        </w:rPr>
        <w:t xml:space="preserve">Alternatives rejected: </w:t>
      </w:r>
      <w:r>
        <w:rPr>
          <w:rFonts w:ascii="Arial" w:cs="Arial" w:eastAsia="Arial" w:hAnsi="Arial"/>
          <w:sz w:val="22"/>
          <w:szCs w:val="22"/>
        </w:rPr>
        <w:t xml:space="preserve">Architecture B (Nginx + FastAPI) was rejected because it adds a third container and requires Nginx configuration knowledge for what is functionally a simple system. Architecture C (exempt route) was rejected because it weakens the auth boundary — the key either lives in JavaScript or the data route is unprotected for browser traffic.</w:t>
      </w:r>
    </w:p>
    <w:p>
      <w:pPr>
        <w:spacing w:before="100" w:after="100"/>
      </w:pPr>
      <w:r>
        <w:t xml:space="preserve"/>
      </w:r>
    </w:p>
    <w:p>
      <w:pPr>
        <w:spacing w:before="80" w:after="40"/>
      </w:pPr>
      <w:r>
        <w:rPr>
          <w:rFonts w:ascii="Arial" w:cs="Arial" w:eastAsia="Arial" w:hAnsi="Arial"/>
          <w:b/>
          <w:bCs/>
          <w:i/>
          <w:iCs/>
          <w:sz w:val="22"/>
          <w:szCs w:val="22"/>
        </w:rPr>
        <w:t xml:space="preserve">Challenge: </w:t>
      </w:r>
      <w:r>
        <w:rPr>
          <w:rFonts w:ascii="Arial" w:cs="Arial" w:eastAsia="Arial" w:hAnsi="Arial"/>
          <w:i/>
          <w:iCs/>
          <w:color w:val="8B0000"/>
          <w:sz w:val="22"/>
          <w:szCs w:val="22"/>
        </w:rPr>
        <w:t xml:space="preserve">Combining the proxy and the API in one process means the auth boundary is enforced by convention in code, not by network topology. A developer error in the proxy route could inadvertently expose data without a key check.</w:t>
      </w:r>
    </w:p>
    <w:p>
      <w:pPr>
        <w:spacing w:before="40" w:after="120"/>
      </w:pPr>
      <w:r>
        <w:rPr>
          <w:rFonts w:ascii="Arial" w:cs="Arial" w:eastAsia="Arial" w:hAnsi="Arial"/>
          <w:b/>
          <w:bCs/>
          <w:sz w:val="22"/>
          <w:szCs w:val="22"/>
        </w:rPr>
        <w:t xml:space="preserve">Verdict: </w:t>
      </w:r>
      <w:r>
        <w:rPr>
          <w:rFonts w:ascii="Arial" w:cs="Arial" w:eastAsia="Arial" w:hAnsi="Arial"/>
          <w:sz w:val="22"/>
          <w:szCs w:val="22"/>
        </w:rPr>
        <w:t xml:space="preserve">Valid as a theoretical concern, rejected as a practical one at this scope. The codebase is small enough that the boundary is clearly visible in code review. The proxy route invokes shared internal logic, not the protected route directly, so the key check is not in the proxy path at all — it lives on the API route and is irrelevant to the internal call.</w:t>
      </w:r>
    </w:p>
    <w:p>
      <w:pPr>
        <w:pStyle w:val="Heading2"/>
        <w:spacing w:before="300" w:after="120"/>
      </w:pPr>
      <w:r>
        <w:rPr>
          <w:rFonts w:ascii="Arial" w:cs="Arial" w:eastAsia="Arial" w:hAnsi="Arial"/>
        </w:rPr>
        <w:t xml:space="preserve">Decision 2: API key enforced via hmac.compare_digest on every protected route</w:t>
      </w:r>
    </w:p>
    <w:p>
      <w:pPr>
        <w:spacing w:before="80" w:after="80"/>
      </w:pPr>
      <w:r>
        <w:rPr>
          <w:rFonts w:ascii="Arial" w:cs="Arial" w:eastAsia="Arial" w:hAnsi="Arial"/>
          <w:b/>
          <w:bCs/>
          <w:sz w:val="22"/>
          <w:szCs w:val="22"/>
        </w:rPr>
        <w:t xml:space="preserve">Decision: </w:t>
      </w:r>
      <w:r>
        <w:rPr>
          <w:rFonts w:ascii="Arial" w:cs="Arial" w:eastAsia="Arial" w:hAnsi="Arial"/>
          <w:sz w:val="22"/>
          <w:szCs w:val="22"/>
        </w:rPr>
        <w:t xml:space="preserve">A single shared secret is loaded from the .env file at startup. Every request to /api/* is checked against this value using hmac.compare_digest rather than a plain equality check.</w:t>
      </w:r>
    </w:p>
    <w:p>
      <w:pPr>
        <w:spacing w:before="80" w:after="80"/>
      </w:pPr>
      <w:r>
        <w:rPr>
          <w:rFonts w:ascii="Arial" w:cs="Arial" w:eastAsia="Arial" w:hAnsi="Arial"/>
          <w:b/>
          <w:bCs/>
          <w:sz w:val="22"/>
          <w:szCs w:val="22"/>
        </w:rPr>
        <w:t xml:space="preserve">Rationale: </w:t>
      </w:r>
      <w:r>
        <w:rPr>
          <w:rFonts w:ascii="Arial" w:cs="Arial" w:eastAsia="Arial" w:hAnsi="Arial"/>
          <w:sz w:val="22"/>
          <w:szCs w:val="22"/>
        </w:rPr>
        <w:t xml:space="preserve">hmac.compare_digest eliminates timing-based side channels that a plain == comparison exposes. At this scale the practical risk is low, but the correct pattern costs one line and establishes the right habit for any code derived from this system.</w:t>
      </w:r>
    </w:p>
    <w:p>
      <w:pPr>
        <w:spacing w:before="80" w:after="80"/>
      </w:pPr>
      <w:r>
        <w:rPr>
          <w:rFonts w:ascii="Arial" w:cs="Arial" w:eastAsia="Arial" w:hAnsi="Arial"/>
          <w:b/>
          <w:bCs/>
          <w:sz w:val="22"/>
          <w:szCs w:val="22"/>
        </w:rPr>
        <w:t xml:space="preserve">Alternatives rejected: </w:t>
      </w:r>
      <w:r>
        <w:rPr>
          <w:rFonts w:ascii="Arial" w:cs="Arial" w:eastAsia="Arial" w:hAnsi="Arial"/>
          <w:sz w:val="22"/>
          <w:szCs w:val="22"/>
        </w:rPr>
        <w:t xml:space="preserve">A plain string comparison would work at this scale but is not the correct pattern. No per-consumer keys were considered — the brief specifies a single shared secret and the system is internal-only.</w:t>
      </w:r>
    </w:p>
    <w:p>
      <w:pPr>
        <w:spacing w:before="100" w:after="100"/>
      </w:pPr>
      <w:r>
        <w:t xml:space="preserve"/>
      </w:r>
    </w:p>
    <w:p>
      <w:pPr>
        <w:spacing w:before="80" w:after="40"/>
      </w:pPr>
      <w:r>
        <w:rPr>
          <w:rFonts w:ascii="Arial" w:cs="Arial" w:eastAsia="Arial" w:hAnsi="Arial"/>
          <w:b/>
          <w:bCs/>
          <w:i/>
          <w:iCs/>
          <w:sz w:val="22"/>
          <w:szCs w:val="22"/>
        </w:rPr>
        <w:t xml:space="preserve">Challenge: </w:t>
      </w:r>
      <w:r>
        <w:rPr>
          <w:rFonts w:ascii="Arial" w:cs="Arial" w:eastAsia="Arial" w:hAnsi="Arial"/>
          <w:i/>
          <w:iCs/>
          <w:color w:val="8B0000"/>
          <w:sz w:val="22"/>
          <w:szCs w:val="22"/>
        </w:rPr>
        <w:t xml:space="preserve">A shared secret offers no way to revoke access for a specific consumer without rotating the key for everyone. If a downstream tool's credentials are compromised, the blast radius is the entire key.</w:t>
      </w:r>
    </w:p>
    <w:p>
      <w:pPr>
        <w:spacing w:before="40" w:after="120"/>
      </w:pPr>
      <w:r>
        <w:rPr>
          <w:rFonts w:ascii="Arial" w:cs="Arial" w:eastAsia="Arial" w:hAnsi="Arial"/>
          <w:b/>
          <w:bCs/>
          <w:sz w:val="22"/>
          <w:szCs w:val="22"/>
        </w:rPr>
        <w:t xml:space="preserve">Verdict: </w:t>
      </w:r>
      <w:r>
        <w:rPr>
          <w:rFonts w:ascii="Arial" w:cs="Arial" w:eastAsia="Arial" w:hAnsi="Arial"/>
          <w:sz w:val="22"/>
          <w:szCs w:val="22"/>
        </w:rPr>
        <w:t xml:space="preserve">Valid concern, rejected as out of scope. The brief explicitly excludes per-consumer key management. The system is internal-only. The answer to this concern is an operational procedure (rotate the key) not an architectural change at this stage.</w:t>
      </w:r>
    </w:p>
    <w:p>
      <w:pPr>
        <w:pStyle w:val="Heading2"/>
        <w:spacing w:before="300" w:after="120"/>
      </w:pPr>
      <w:r>
        <w:rPr>
          <w:rFonts w:ascii="Arial" w:cs="Arial" w:eastAsia="Arial" w:hAnsi="Arial"/>
        </w:rPr>
        <w:t xml:space="preserve">Decision 3: Postgres startup handled by healthcheck + FastAPI retry loop</w:t>
      </w:r>
    </w:p>
    <w:p>
      <w:pPr>
        <w:spacing w:before="80" w:after="80"/>
      </w:pPr>
      <w:r>
        <w:rPr>
          <w:rFonts w:ascii="Arial" w:cs="Arial" w:eastAsia="Arial" w:hAnsi="Arial"/>
          <w:b/>
          <w:bCs/>
          <w:sz w:val="22"/>
          <w:szCs w:val="22"/>
        </w:rPr>
        <w:t xml:space="preserve">Decision: </w:t>
      </w:r>
      <w:r>
        <w:rPr>
          <w:rFonts w:ascii="Arial" w:cs="Arial" w:eastAsia="Arial" w:hAnsi="Arial"/>
          <w:sz w:val="22"/>
          <w:szCs w:val="22"/>
        </w:rPr>
        <w:t xml:space="preserve">docker-compose.yml defines a pg_isready healthcheck on the Postgres service and sets the FastAPI service depends_on to condition: service_healthy. FastAPI startup code additionally retries the DB connection up to 10 times with a 1-second sleep between attempts.</w:t>
      </w:r>
    </w:p>
    <w:p>
      <w:pPr>
        <w:spacing w:before="80" w:after="80"/>
      </w:pPr>
      <w:r>
        <w:rPr>
          <w:rFonts w:ascii="Arial" w:cs="Arial" w:eastAsia="Arial" w:hAnsi="Arial"/>
          <w:b/>
          <w:bCs/>
          <w:sz w:val="22"/>
          <w:szCs w:val="22"/>
        </w:rPr>
        <w:t xml:space="preserve">Rationale: </w:t>
      </w:r>
      <w:r>
        <w:rPr>
          <w:rFonts w:ascii="Arial" w:cs="Arial" w:eastAsia="Arial" w:hAnsi="Arial"/>
          <w:sz w:val="22"/>
          <w:szCs w:val="22"/>
        </w:rPr>
        <w:t xml:space="preserve">Docker Compose depends_on with service_healthy prevents the FastAPI container from starting before Postgres is ready to accept connections. The retry loop handles the gap between pg_isready passing and the database being fully initialised. Belt and braces — Compose handles the happy path, the retry loop handles edge cases.</w:t>
      </w:r>
    </w:p>
    <w:p>
      <w:pPr>
        <w:spacing w:before="80" w:after="80"/>
      </w:pPr>
      <w:r>
        <w:rPr>
          <w:rFonts w:ascii="Arial" w:cs="Arial" w:eastAsia="Arial" w:hAnsi="Arial"/>
          <w:b/>
          <w:bCs/>
          <w:sz w:val="22"/>
          <w:szCs w:val="22"/>
        </w:rPr>
        <w:t xml:space="preserve">Alternatives rejected: </w:t>
      </w:r>
      <w:r>
        <w:rPr>
          <w:rFonts w:ascii="Arial" w:cs="Arial" w:eastAsia="Arial" w:hAnsi="Arial"/>
          <w:sz w:val="22"/>
          <w:szCs w:val="22"/>
        </w:rPr>
        <w:t xml:space="preserve">A simple depends_on without a healthcheck was rejected because it only waits for the container to start, not for Postgres to be ready. An entrypoint wait script (e.g. wait-for-it.sh) was considered but rejected in favour of native Compose healthcheck which is cleaner and avoids an external dependency.</w:t>
      </w:r>
    </w:p>
    <w:p>
      <w:pPr>
        <w:spacing w:before="100" w:after="100"/>
      </w:pPr>
      <w:r>
        <w:t xml:space="preserve"/>
      </w:r>
    </w:p>
    <w:p>
      <w:pPr>
        <w:spacing w:before="80" w:after="40"/>
      </w:pPr>
      <w:r>
        <w:rPr>
          <w:rFonts w:ascii="Arial" w:cs="Arial" w:eastAsia="Arial" w:hAnsi="Arial"/>
          <w:b/>
          <w:bCs/>
          <w:i/>
          <w:iCs/>
          <w:sz w:val="22"/>
          <w:szCs w:val="22"/>
        </w:rPr>
        <w:t xml:space="preserve">Challenge: </w:t>
      </w:r>
      <w:r>
        <w:rPr>
          <w:rFonts w:ascii="Arial" w:cs="Arial" w:eastAsia="Arial" w:hAnsi="Arial"/>
          <w:i/>
          <w:iCs/>
          <w:color w:val="8B0000"/>
          <w:sz w:val="22"/>
          <w:szCs w:val="22"/>
        </w:rPr>
        <w:t xml:space="preserve">The retry loop introduces startup latency in the failure case — if Postgres is genuinely unavailable, FastAPI will hang for up to 10 seconds before failing. In a developer workflow this is a confusing experience.</w:t>
      </w:r>
    </w:p>
    <w:p>
      <w:pPr>
        <w:spacing w:before="40" w:after="120"/>
      </w:pPr>
      <w:r>
        <w:rPr>
          <w:rFonts w:ascii="Arial" w:cs="Arial" w:eastAsia="Arial" w:hAnsi="Arial"/>
          <w:b/>
          <w:bCs/>
          <w:sz w:val="22"/>
          <w:szCs w:val="22"/>
        </w:rPr>
        <w:t xml:space="preserve">Verdict: </w:t>
      </w:r>
      <w:r>
        <w:rPr>
          <w:rFonts w:ascii="Arial" w:cs="Arial" w:eastAsia="Arial" w:hAnsi="Arial"/>
          <w:sz w:val="22"/>
          <w:szCs w:val="22"/>
        </w:rPr>
        <w:t xml:space="preserve">Rejected. Ten seconds is acceptable for a service that should never fail to start in normal operation. The alternative — failing immediately — would produce a harder-to-diagnose crash rather than a clear timeout message. The retry count and sleep interval are constants that can be adjusted.</w:t>
      </w:r>
    </w:p>
    <w:p>
      <w:pPr>
        <w:pStyle w:val="Heading2"/>
        <w:spacing w:before="300" w:after="120"/>
      </w:pPr>
      <w:r>
        <w:rPr>
          <w:rFonts w:ascii="Arial" w:cs="Arial" w:eastAsia="Arial" w:hAnsi="Arial"/>
        </w:rPr>
        <w:t xml:space="preserve">Decision 4: Database initialised via /docker-entrypoint-initdb.d/ with idempotent seed scripts</w:t>
      </w:r>
    </w:p>
    <w:p>
      <w:pPr>
        <w:spacing w:before="80" w:after="80"/>
      </w:pPr>
      <w:r>
        <w:rPr>
          <w:rFonts w:ascii="Arial" w:cs="Arial" w:eastAsia="Arial" w:hAnsi="Arial"/>
          <w:b/>
          <w:bCs/>
          <w:sz w:val="22"/>
          <w:szCs w:val="22"/>
        </w:rPr>
        <w:t xml:space="preserve">Decision: </w:t>
      </w:r>
      <w:r>
        <w:rPr>
          <w:rFonts w:ascii="Arial" w:cs="Arial" w:eastAsia="Arial" w:hAnsi="Arial"/>
          <w:sz w:val="22"/>
          <w:szCs w:val="22"/>
        </w:rPr>
        <w:t xml:space="preserve">Schema creation and seed data are placed in 01_schema.sql and 02_seed.sql inside /docker-entrypoint-initdb.d/. Seed inserts use INSERT ... ON CONFLICT DO NOTHING. The README documents docker compose down -v as the reset path.</w:t>
      </w:r>
    </w:p>
    <w:p>
      <w:pPr>
        <w:spacing w:before="80" w:after="80"/>
      </w:pPr>
      <w:r>
        <w:rPr>
          <w:rFonts w:ascii="Arial" w:cs="Arial" w:eastAsia="Arial" w:hAnsi="Arial"/>
          <w:b/>
          <w:bCs/>
          <w:sz w:val="22"/>
          <w:szCs w:val="22"/>
        </w:rPr>
        <w:t xml:space="preserve">Rationale: </w:t>
      </w:r>
      <w:r>
        <w:rPr>
          <w:rFonts w:ascii="Arial" w:cs="Arial" w:eastAsia="Arial" w:hAnsi="Arial"/>
          <w:sz w:val="22"/>
          <w:szCs w:val="22"/>
        </w:rPr>
        <w:t xml:space="preserve">The /docker-entrypoint-initdb.d/ mechanism is the standard Postgres Docker pattern — it runs automatically on first container creation with an empty data volume, requires no custom entrypoint logic, and executes scripts in filename order. Idempotent inserts mean the scripts are safe to run multiple times without error.</w:t>
      </w:r>
    </w:p>
    <w:p>
      <w:pPr>
        <w:spacing w:before="80" w:after="80"/>
      </w:pPr>
      <w:r>
        <w:rPr>
          <w:rFonts w:ascii="Arial" w:cs="Arial" w:eastAsia="Arial" w:hAnsi="Arial"/>
          <w:b/>
          <w:bCs/>
          <w:sz w:val="22"/>
          <w:szCs w:val="22"/>
        </w:rPr>
        <w:t xml:space="preserve">Alternatives rejected: </w:t>
      </w:r>
      <w:r>
        <w:rPr>
          <w:rFonts w:ascii="Arial" w:cs="Arial" w:eastAsia="Arial" w:hAnsi="Arial"/>
          <w:sz w:val="22"/>
          <w:szCs w:val="22"/>
        </w:rPr>
        <w:t xml:space="preserve">A custom entrypoint script that always runs migrations was considered but rejected — it adds complexity and risk of accidentally re-running destructive operations on an existing volume. A manual setup step was rejected because the brief explicitly requires zero manual steps beyond providing .env.</w:t>
      </w:r>
    </w:p>
    <w:p>
      <w:pPr>
        <w:spacing w:before="100" w:after="100"/>
      </w:pPr>
      <w:r>
        <w:t xml:space="preserve"/>
      </w:r>
    </w:p>
    <w:p>
      <w:pPr>
        <w:spacing w:before="80" w:after="40"/>
      </w:pPr>
      <w:r>
        <w:rPr>
          <w:rFonts w:ascii="Arial" w:cs="Arial" w:eastAsia="Arial" w:hAnsi="Arial"/>
          <w:b/>
          <w:bCs/>
          <w:i/>
          <w:iCs/>
          <w:sz w:val="22"/>
          <w:szCs w:val="22"/>
        </w:rPr>
        <w:t xml:space="preserve">Challenge: </w:t>
      </w:r>
      <w:r>
        <w:rPr>
          <w:rFonts w:ascii="Arial" w:cs="Arial" w:eastAsia="Arial" w:hAnsi="Arial"/>
          <w:i/>
          <w:iCs/>
          <w:color w:val="8B0000"/>
          <w:sz w:val="22"/>
          <w:szCs w:val="22"/>
        </w:rPr>
        <w:t xml:space="preserve">Init scripts only run on a fresh volume. If a developer modifies the seed data and runs docker compose up without removing the volume first, the changes will not take effect. This is a silent failure with no error message.</w:t>
      </w:r>
    </w:p>
    <w:p>
      <w:pPr>
        <w:spacing w:before="40" w:after="120"/>
      </w:pPr>
      <w:r>
        <w:rPr>
          <w:rFonts w:ascii="Arial" w:cs="Arial" w:eastAsia="Arial" w:hAnsi="Arial"/>
          <w:b/>
          <w:bCs/>
          <w:sz w:val="22"/>
          <w:szCs w:val="22"/>
        </w:rPr>
        <w:t xml:space="preserve">Verdict: </w:t>
      </w:r>
      <w:r>
        <w:rPr>
          <w:rFonts w:ascii="Arial" w:cs="Arial" w:eastAsia="Arial" w:hAnsi="Arial"/>
          <w:sz w:val="22"/>
          <w:szCs w:val="22"/>
        </w:rPr>
        <w:t xml:space="preserve">Valid and documented. The mitigation is a clear note in the README: schema or seed changes require docker compose down -v before docker compose up. This is standard behaviour for this pattern and expected knowledge for anyone working with Docker Compose.</w:t>
      </w:r>
    </w:p>
    <w:p>
      <w:pPr>
        <w:pStyle w:val="Heading2"/>
        <w:spacing w:before="300" w:after="120"/>
      </w:pPr>
      <w:r>
        <w:rPr>
          <w:rFonts w:ascii="Arial" w:cs="Arial" w:eastAsia="Arial" w:hAnsi="Arial"/>
        </w:rPr>
        <w:t xml:space="preserve">Decision 5: Risk factors returned as structured objects with code and description fields</w:t>
      </w:r>
    </w:p>
    <w:p>
      <w:pPr>
        <w:spacing w:before="80" w:after="80"/>
      </w:pPr>
      <w:r>
        <w:rPr>
          <w:rFonts w:ascii="Arial" w:cs="Arial" w:eastAsia="Arial" w:hAnsi="Arial"/>
          <w:b/>
          <w:bCs/>
          <w:sz w:val="22"/>
          <w:szCs w:val="22"/>
        </w:rPr>
        <w:t xml:space="preserve">Decision: </w:t>
      </w:r>
      <w:r>
        <w:rPr>
          <w:rFonts w:ascii="Arial" w:cs="Arial" w:eastAsia="Arial" w:hAnsi="Arial"/>
          <w:sz w:val="22"/>
          <w:szCs w:val="22"/>
        </w:rPr>
        <w:t xml:space="preserve">Each risk factor in the API response is an object: { "code": "HIGH_TRANSACTION_VOLUME", "description": "Transaction volume exceeds tier threshold" }. An empty array is valid and expected for low-risk customers.</w:t>
      </w:r>
    </w:p>
    <w:p>
      <w:pPr>
        <w:spacing w:before="80" w:after="80"/>
      </w:pPr>
      <w:r>
        <w:rPr>
          <w:rFonts w:ascii="Arial" w:cs="Arial" w:eastAsia="Arial" w:hAnsi="Arial"/>
          <w:b/>
          <w:bCs/>
          <w:sz w:val="22"/>
          <w:szCs w:val="22"/>
        </w:rPr>
        <w:t xml:space="preserve">Rationale: </w:t>
      </w:r>
      <w:r>
        <w:rPr>
          <w:rFonts w:ascii="Arial" w:cs="Arial" w:eastAsia="Arial" w:hAnsi="Arial"/>
          <w:sz w:val="22"/>
          <w:szCs w:val="22"/>
        </w:rPr>
        <w:t xml:space="preserve">A string array would be simpler to implement but sacrifices machine-readability. If a downstream tool ever needs to programmatically check for a specific factor, a bare string label is brittle — it couples the consumer to human-readable text that might change. The code field provides a stable identifier; the description field provides the human-readable label for UI rendering.</w:t>
      </w:r>
    </w:p>
    <w:p>
      <w:pPr>
        <w:spacing w:before="80" w:after="80"/>
      </w:pPr>
      <w:r>
        <w:rPr>
          <w:rFonts w:ascii="Arial" w:cs="Arial" w:eastAsia="Arial" w:hAnsi="Arial"/>
          <w:b/>
          <w:bCs/>
          <w:sz w:val="22"/>
          <w:szCs w:val="22"/>
        </w:rPr>
        <w:t xml:space="preserve">Alternatives rejected: </w:t>
      </w:r>
      <w:r>
        <w:rPr>
          <w:rFonts w:ascii="Arial" w:cs="Arial" w:eastAsia="Arial" w:hAnsi="Arial"/>
          <w:sz w:val="22"/>
          <w:szCs w:val="22"/>
        </w:rPr>
        <w:t xml:space="preserve">A plain string array was rejected for the reason above. A more complex structure (e.g. including a numeric weight or severity) was considered but rejected as speculative — the brief does not reference any weighting system and adding fields not driven by requirements creates false complexity.</w:t>
      </w:r>
    </w:p>
    <w:p>
      <w:pPr>
        <w:spacing w:before="100" w:after="100"/>
      </w:pPr>
      <w:r>
        <w:t xml:space="preserve"/>
      </w:r>
    </w:p>
    <w:p>
      <w:pPr>
        <w:spacing w:before="80" w:after="40"/>
      </w:pPr>
      <w:r>
        <w:rPr>
          <w:rFonts w:ascii="Arial" w:cs="Arial" w:eastAsia="Arial" w:hAnsi="Arial"/>
          <w:b/>
          <w:bCs/>
          <w:i/>
          <w:iCs/>
          <w:sz w:val="22"/>
          <w:szCs w:val="22"/>
        </w:rPr>
        <w:t xml:space="preserve">Challenge: </w:t>
      </w:r>
      <w:r>
        <w:rPr>
          <w:rFonts w:ascii="Arial" w:cs="Arial" w:eastAsia="Arial" w:hAnsi="Arial"/>
          <w:i/>
          <w:iCs/>
          <w:color w:val="8B0000"/>
          <w:sz w:val="22"/>
          <w:szCs w:val="22"/>
        </w:rPr>
        <w:t xml:space="preserve">The code values are not yet defined — they will be derived from the seed data. Until the seed data arrives, the code field is an assumption about the data model that could require schema revision.</w:t>
      </w:r>
    </w:p>
    <w:p>
      <w:pPr>
        <w:spacing w:before="40" w:after="120"/>
      </w:pPr>
      <w:r>
        <w:rPr>
          <w:rFonts w:ascii="Arial" w:cs="Arial" w:eastAsia="Arial" w:hAnsi="Arial"/>
          <w:b/>
          <w:bCs/>
          <w:sz w:val="22"/>
          <w:szCs w:val="22"/>
        </w:rPr>
        <w:t xml:space="preserve">Verdict: </w:t>
      </w:r>
      <w:r>
        <w:rPr>
          <w:rFonts w:ascii="Arial" w:cs="Arial" w:eastAsia="Arial" w:hAnsi="Arial"/>
          <w:sz w:val="22"/>
          <w:szCs w:val="22"/>
        </w:rPr>
        <w:t xml:space="preserve">Valid, flagged as an open question. The schema shape is locked; the specific code values are pending seed data. This does not affect the architectural decision, only the implementation constants.</w:t>
      </w:r>
    </w:p>
    <w:p>
      <w:pPr>
        <w:pStyle w:val="Heading1"/>
        <w:pBdr>
          <w:bottom w:val="single" w:color="2E4057" w:sz="6" w:space="1"/>
        </w:pBdr>
        <w:spacing w:before="400" w:after="160"/>
      </w:pPr>
      <w:r>
        <w:rPr>
          <w:rFonts w:ascii="Arial" w:cs="Arial" w:eastAsia="Arial" w:hAnsi="Arial"/>
        </w:rPr>
        <w:t xml:space="preserve">3.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color w:val="FFFFFF"/>
                <w:sz w:val="20"/>
                <w:szCs w:val="20"/>
              </w:rPr>
              <w:t xml:space="preserve">Description / Mitigation</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Auth boundary by convention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proxy and API routes share a process. The auth check on /api/* is not enforced by network topology. Mitigation: proxy route invokes internal data logic directly, bypassing the route handler — the key check on the API route is structurally irrelevant to the internal path.</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Seed data dependency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Risk factor codes and customer ID format are not yet confirmed. The validation regex and seed scripts cannot be finalised until seed data is provided. Mitigation: validation slot is built with a placeholder pattern; schema shape is locked independently.</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Single shared API key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per-consumer revocation. A compromised key requires rotating for all consumers simultaneously. Mitigation: accepted as in-scope limitation per brief. Operational procedure: rotate .env and redeploy.</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Volume state confusion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Seed data changes are silent on an existing volume. Developers may believe they are testing against updated data when they are not. Mitigation: documented in README; docker compose down -v is the required reset path.</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psycopg2 parameterisation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Without an ORM, SQL injection prevention is entirely manual. Every query must use parameterised statements. Mitigation: code review gate; no string interpolation in any query.</w:t>
            </w:r>
          </w:p>
        </w:tc>
      </w:tr>
    </w:tbl>
    <w:p>
      <w:pPr>
        <w:spacing w:before="100" w:after="100"/>
      </w:pPr>
      <w:r>
        <w:t xml:space="preserve"/>
      </w:r>
    </w:p>
    <w:p>
      <w:pPr>
        <w:pStyle w:val="Heading1"/>
        <w:pBdr>
          <w:bottom w:val="single" w:color="2E4057" w:sz="6" w:space="1"/>
        </w:pBdr>
        <w:spacing w:before="400" w:after="160"/>
      </w:pPr>
      <w:r>
        <w:rPr>
          <w:rFonts w:ascii="Arial" w:cs="Arial" w:eastAsia="Arial" w:hAnsi="Arial"/>
        </w:rPr>
        <w:t xml:space="preserve">4.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Assumption</w:t>
            </w:r>
          </w:p>
        </w:tc>
        <w:tc>
          <w:tcPr>
            <w:tcW w:type="dxa" w:w="6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color w:val="FFFFFF"/>
                <w:sz w:val="20"/>
                <w:szCs w:val="20"/>
              </w:rPr>
              <w:t xml:space="preserve">Basis / Flag</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Customer ID is a prefixed string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Confirmed in design session. Exact prefix and format pending seed data.</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Risk factor codes are stable identifiers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Assumed. Not confirmed by client. Treated as a contract — changes to codes are breaking changes for API consumers.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Single shared API key is sufficient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Confirmed per brief. No per-consumer key management in scope.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System is internal-only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Stated in brief (Classification: Training Demo System). Auth model is appropriate for this context; would need revision for external exposure.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No customer has zero risk factors at HIGH or MEDIUM tier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Assumed. Empty risk_factors array is valid in schema for LOW tier. If other tiers can have empty factors, seed data should include that case.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5-second query timeout is sufficient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Assumed based on read-only lookup against a small seeded dataset. Revisit if data volume grows.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docker compose down -v is acceptable for resets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Standard pattern. Documented in README. No data persistence requirement beyond the seeded baseline.</w:t>
            </w:r>
          </w:p>
        </w:tc>
      </w:tr>
    </w:tbl>
    <w:p>
      <w:pPr>
        <w:spacing w:before="100" w:after="100"/>
      </w:pPr>
      <w:r>
        <w:t xml:space="preserve"/>
      </w:r>
    </w:p>
    <w:p>
      <w:pPr>
        <w:pStyle w:val="Heading1"/>
        <w:pBdr>
          <w:bottom w:val="single" w:color="2E4057" w:sz="6" w:space="1"/>
        </w:pBdr>
        <w:spacing w:before="400" w:after="160"/>
      </w:pPr>
      <w:r>
        <w:rPr>
          <w:rFonts w:ascii="Arial" w:cs="Arial" w:eastAsia="Arial" w:hAnsi="Arial"/>
        </w:rPr>
        <w:t xml:space="preserve">5. Data Model</w:t>
      </w:r>
    </w:p>
    <w:p>
      <w:pPr>
        <w:spacing w:before="80" w:after="80"/>
      </w:pPr>
      <w:r>
        <w:rPr>
          <w:rFonts w:ascii="Arial" w:cs="Arial" w:eastAsia="Arial" w:hAnsi="Arial"/>
          <w:sz w:val="22"/>
          <w:szCs w:val="22"/>
        </w:rPr>
        <w:t xml:space="preserve">Two first-class entities. No write operations on either.</w:t>
      </w:r>
    </w:p>
    <w:p>
      <w:pPr>
        <w:spacing w:before="100" w:after="100"/>
      </w:pPr>
      <w:r>
        <w:t xml:space="preserve"/>
      </w:r>
    </w:p>
    <w:p>
      <w:pPr>
        <w:pStyle w:val="Heading2"/>
        <w:spacing w:before="300" w:after="120"/>
      </w:pPr>
      <w:r>
        <w:rPr>
          <w:rFonts w:ascii="Arial" w:cs="Arial" w:eastAsia="Arial" w:hAnsi="Arial"/>
        </w:rPr>
        <w:t xml:space="preserve">customer</w:t>
      </w:r>
    </w:p>
    <w:p>
      <w:pPr>
        <w:spacing w:before="80" w:after="80"/>
      </w:pPr>
      <w:r>
        <w:rPr>
          <w:rFonts w:ascii="Arial" w:cs="Arial" w:eastAsia="Arial" w:hAnsi="Arial"/>
          <w:sz w:val="22"/>
          <w:szCs w:val="22"/>
        </w:rPr>
        <w:t xml:space="preserve">Represents a single assessed customer in the risk database. The unit of lookup — every API query resolves to exactly one customer record or a 404.</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customer_id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key. Prefixed string format (e.g. CUST-0042). Exact prefix TBC from seed data. This is the external identifier exposed in the API response and used as the lookup key.</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risk_tier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Enumerated value: LOW, MEDIUM, or HIGH. Represents the pre-assessed risk classification. Not computed by this system.</w:t>
            </w:r>
          </w:p>
        </w:tc>
      </w:tr>
    </w:tbl>
    <w:p>
      <w:pPr>
        <w:spacing w:before="100" w:after="100"/>
      </w:pPr>
      <w:r>
        <w:t xml:space="preserve"/>
      </w:r>
    </w:p>
    <w:p>
      <w:pPr>
        <w:pStyle w:val="Heading2"/>
        <w:spacing w:before="300" w:after="120"/>
      </w:pPr>
      <w:r>
        <w:rPr>
          <w:rFonts w:ascii="Arial" w:cs="Arial" w:eastAsia="Arial" w:hAnsi="Arial"/>
        </w:rPr>
        <w:t xml:space="preserve">risk_factor</w:t>
      </w:r>
    </w:p>
    <w:p>
      <w:pPr>
        <w:spacing w:before="80" w:after="80"/>
      </w:pPr>
      <w:r>
        <w:rPr>
          <w:rFonts w:ascii="Arial" w:cs="Arial" w:eastAsia="Arial" w:hAnsi="Arial"/>
          <w:sz w:val="22"/>
          <w:szCs w:val="22"/>
        </w:rPr>
        <w:t xml:space="preserve">Represents a single contributing factor to a customer's risk tier assessment. Each customer has zero or more risk factors. A LOW tier customer may have zero factors; this is a valid state and returns an empty array.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customer_id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Foreign key to customer. Links the factor to its parent customer record.</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code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Stable machine-readable identifier for the factor type (e.g. HIGH_TRANSACTION_VOLUME). Treated as a contract — consumers may depend on specific code values. Changes are breaking.</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Human-readable explanation of the factor, suitable for display in the UI. May change without being considered a breaking change provided the code remains stable.</w:t>
            </w:r>
          </w:p>
        </w:tc>
      </w:tr>
    </w:tbl>
    <w:p>
      <w:pPr>
        <w:spacing w:before="100" w:after="100"/>
      </w:pPr>
      <w:r>
        <w:t xml:space="preserve"/>
      </w:r>
    </w:p>
    <w:p>
      <w:pPr>
        <w:pStyle w:val="Heading2"/>
        <w:spacing w:before="300" w:after="120"/>
      </w:pPr>
      <w:r>
        <w:rPr>
          <w:rFonts w:ascii="Arial" w:cs="Arial" w:eastAsia="Arial" w:hAnsi="Arial"/>
        </w:rPr>
        <w:t xml:space="preserve">API Response Shape</w:t>
      </w:r>
    </w:p>
    <w:p>
      <w:pPr>
        <w:spacing w:before="80" w:after="80"/>
      </w:pPr>
      <w:r>
        <w:rPr>
          <w:rFonts w:ascii="Arial" w:cs="Arial" w:eastAsia="Arial" w:hAnsi="Arial"/>
          <w:sz w:val="22"/>
          <w:szCs w:val="22"/>
        </w:rPr>
        <w:t xml:space="preserve">The JSON response assembles these two entities into a single object. No other data is exposed.</w:t>
      </w:r>
    </w:p>
    <w:p>
      <w:pPr>
        <w:spacing w:before="100" w:after="100"/>
      </w:pPr>
      <w:r>
        <w:t xml:space="preserve"/>
      </w:r>
    </w:p>
    <w:p>
      <w:pPr>
        <w:pBdr>
          <w:left w:val="single" w:color="2E4057" w:sz="12" w:space="4"/>
        </w:pBdr>
        <w:shd w:fill="F0F4F8" w:val="clear"/>
        <w:spacing w:before="120" w:after="120"/>
        <w:ind w:left="360"/>
      </w:pPr>
      <w:r>
        <w:rPr>
          <w:rFonts w:ascii="Courier New" w:cs="Courier New" w:eastAsia="Courier New" w:hAnsi="Courier New"/>
          <w:color w:val="1A1A2E"/>
          <w:sz w:val="18"/>
          <w:szCs w:val="18"/>
        </w:rPr>
        <w:t xml:space="preserve">{ "customer_id": "CUST-0042", "risk_tier": "HIGH", "risk_factors": [ { "code": "HIGH_TRANSACTION_VOLUME", "description": "Transaction volume exceeds tier threshold" } ] }</w:t>
      </w:r>
    </w:p>
    <w:p>
      <w:pPr>
        <w:spacing w:before="100" w:after="100"/>
      </w:pPr>
      <w:r>
        <w:t xml:space="preserve"/>
      </w:r>
    </w:p>
    <w:p>
      <w:pPr>
        <w:pStyle w:val="Heading1"/>
        <w:pBdr>
          <w:bottom w:val="single" w:color="2E4057" w:sz="6" w:space="1"/>
        </w:pBdr>
        <w:spacing w:before="400" w:after="160"/>
      </w:pPr>
      <w:r>
        <w:rPr>
          <w:rFonts w:ascii="Arial" w:cs="Arial" w:eastAsia="Arial" w:hAnsi="Arial"/>
        </w:rPr>
        <w:t xml:space="preserve">6. Open Questions</w:t>
      </w:r>
    </w:p>
    <w:p>
      <w:pPr>
        <w:spacing w:before="80" w:after="80"/>
      </w:pPr>
      <w:r>
        <w:rPr>
          <w:rFonts w:ascii="Arial" w:cs="Arial" w:eastAsia="Arial" w:hAnsi="Arial"/>
          <w:sz w:val="22"/>
          <w:szCs w:val="22"/>
        </w:rPr>
        <w:t xml:space="preserve">The following items are unresolved and block or affect Phase 3 implementation decisions.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color w:val="FFFFFF"/>
                <w:sz w:val="20"/>
                <w:szCs w:val="20"/>
              </w:rPr>
              <w:t xml:space="preserve">Impact if unresolved</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What is the exact customer ID prefix and format?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Cannot finalise the input validation regex. Placeholder pattern must be replaced before go-live. A wrong pattern produces false 400 errors on valid IDs.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What are the risk factor code values in the seed 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Cannot write the seed scripts or confirm the response schema codes. Schema shape is locked; code values are not.</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Can a MEDIUM or HIGH tier customer have zero risk factors?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If yes, the seed data must include that case to confirm the empty array path is tested. If no, a server-side guard may be warranted.</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2E4057"/>
                <w:sz w:val="20"/>
                <w:szCs w:val="20"/>
              </w:rPr>
              <w:t xml:space="preserve">Is there a health endpoint requirement?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/health route is specified. If the system is monitored by an external tool (e.g. Docker healthcheck from outside the stack), a simple 200 OK endpoint is needed. Currently unaddressed.</w:t>
            </w:r>
          </w:p>
        </w:tc>
      </w:tr>
    </w:tbl>
    <w:p>
      <w:pPr>
        <w:spacing w:before="10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Classification: Training Demo System  ·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ARCHITECTURE.md  ·  Customer Risk API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863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2026-03-16T08:01:14.544Z</dcterms:created>
  <dcterms:modified xsi:type="dcterms:W3CDTF">2026-03-16T08:01:14.545Z</dcterms:modified>
</cp:coreProperties>
</file>

<file path=docProps/custom.xml><?xml version="1.0" encoding="utf-8"?>
<Properties xmlns="http://schemas.openxmlformats.org/officeDocument/2006/custom-properties" xmlns:vt="http://schemas.openxmlformats.org/officeDocument/2006/docPropsVTypes"/>
</file>