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GETT RIDE FAILURE ANALYSIS &amp; OPTIMIZATION</w:t>
      </w:r>
    </w:p>
    <w:p>
      <w:pPr>
        <w:jc w:val="center"/>
      </w:pPr>
      <w:r>
        <w:rPr>
          <w:b/>
        </w:rPr>
        <w:t>Stakeholder-Friendly Business Report</w:t>
        <w:br/>
      </w:r>
      <w:r>
        <w:t>Author: Sahil Murti</w:t>
        <w:br/>
        <w:t>Microsoft Fabric | Synapse Data Engineering / PySpark</w:t>
        <w:br/>
        <w:t>Dataset: Gett (GetTaxi) Failed Orders</w:t>
      </w:r>
    </w:p>
    <w:p/>
    <w:p>
      <w:pPr>
        <w:pStyle w:val="Heading1"/>
      </w:pPr>
      <w:r>
        <w:t>1. Executive Summary</w:t>
      </w:r>
    </w:p>
    <w:p>
      <w:r>
        <w:t>This analysis examines failed Gett ride requests to understand why customers do not complete their rides. The analysis focuses on driver assignment, cancellation behavior, system rejection, time of day, waiting time and Estimated Time of Arrival (ETA).</w:t>
      </w:r>
    </w:p>
    <w:p>
      <w:r>
        <w:t>The most important finding is that the problem starts before a driver is assigned. 22,904 of 31,268 failed orders occurred without a driver assignment, equal to approximately 73.24% of all failures. This makes driver availability, dispatch speed and the early customer experience the highest-priority areas for improvement.</w:t>
      </w:r>
    </w:p>
    <w:p>
      <w:r>
        <w:rPr>
          <w:b/>
        </w:rPr>
        <w:t>Management takeaway</w:t>
        <w:br/>
      </w:r>
      <w:r>
        <w:t>The business should focus first on getting customers a driver quickly. If assignment is delayed, the platform should actively communicate progress and test targeted interventions before customers reach the observed high-risk cancellation window.</w:t>
      </w:r>
    </w:p>
    <w:p>
      <w:pPr>
        <w:pStyle w:val="Heading1"/>
      </w:pPr>
      <w:r>
        <w:t>2. KPI Snapshot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KPI</w:t>
            </w:r>
          </w:p>
        </w:tc>
        <w:tc>
          <w:tcPr>
            <w:tcW w:type="dxa" w:w="3408"/>
            <w:shd w:fill="D9EAF7"/>
          </w:tcPr>
          <w:p>
            <w:r>
              <w:rPr>
                <w:b/>
                <w:sz w:val="18"/>
              </w:rPr>
              <w:t>Result</w:t>
            </w:r>
          </w:p>
        </w:tc>
        <w:tc>
          <w:tcPr>
            <w:tcW w:type="dxa" w:w="3408"/>
            <w:shd w:fill="D9EAF7"/>
          </w:tcPr>
          <w:p>
            <w:r>
              <w:rPr>
                <w:b/>
                <w:sz w:val="18"/>
              </w:rPr>
              <w:t>Meaning</w:t>
            </w:r>
          </w:p>
        </w:tc>
      </w:tr>
      <w:tr>
        <w:tc>
          <w:tcPr>
            <w:tcW w:type="dxa" w:w="3408"/>
          </w:tcPr>
          <w:p>
            <w:r>
              <w:rPr>
                <w:sz w:val="18"/>
              </w:rPr>
              <w:t>Failed orders analyzed</w:t>
            </w:r>
          </w:p>
        </w:tc>
        <w:tc>
          <w:tcPr>
            <w:tcW w:type="dxa" w:w="3408"/>
          </w:tcPr>
          <w:p>
            <w:r>
              <w:rPr>
                <w:sz w:val="18"/>
              </w:rPr>
              <w:t>31,268</w:t>
            </w:r>
          </w:p>
        </w:tc>
        <w:tc>
          <w:tcPr>
            <w:tcW w:type="dxa" w:w="3408"/>
          </w:tcPr>
          <w:p>
            <w:r>
              <w:rPr>
                <w:sz w:val="18"/>
              </w:rPr>
              <w:t>Total unsuccessful ride requests analyzed.</w:t>
            </w:r>
          </w:p>
        </w:tc>
      </w:tr>
      <w:tr>
        <w:tc>
          <w:tcPr>
            <w:tcW w:type="dxa" w:w="3408"/>
          </w:tcPr>
          <w:p>
            <w:r>
              <w:rPr>
                <w:sz w:val="18"/>
              </w:rPr>
              <w:t>Customer cancellation rate</w:t>
            </w:r>
          </w:p>
        </w:tc>
        <w:tc>
          <w:tcPr>
            <w:tcW w:type="dxa" w:w="3408"/>
          </w:tcPr>
          <w:p>
            <w:r>
              <w:rPr>
                <w:sz w:val="18"/>
              </w:rPr>
              <w:t>69.70%</w:t>
            </w:r>
          </w:p>
        </w:tc>
        <w:tc>
          <w:tcPr>
            <w:tcW w:type="dxa" w:w="3408"/>
          </w:tcPr>
          <w:p>
            <w:r>
              <w:rPr>
                <w:sz w:val="18"/>
              </w:rPr>
              <w:t>Roughly 7 out of 10 failed orders involve customer cancellation.</w:t>
            </w:r>
          </w:p>
        </w:tc>
      </w:tr>
      <w:tr>
        <w:tc>
          <w:tcPr>
            <w:tcW w:type="dxa" w:w="3408"/>
          </w:tcPr>
          <w:p>
            <w:r>
              <w:rPr>
                <w:sz w:val="18"/>
              </w:rPr>
              <w:t>Average platform ETA</w:t>
            </w:r>
          </w:p>
        </w:tc>
        <w:tc>
          <w:tcPr>
            <w:tcW w:type="dxa" w:w="3408"/>
          </w:tcPr>
          <w:p>
            <w:r>
              <w:rPr>
                <w:sz w:val="18"/>
              </w:rPr>
              <w:t>7.92 min</w:t>
            </w:r>
          </w:p>
        </w:tc>
        <w:tc>
          <w:tcPr>
            <w:tcW w:type="dxa" w:w="3408"/>
          </w:tcPr>
          <w:p>
            <w:r>
              <w:rPr>
                <w:sz w:val="18"/>
              </w:rPr>
              <w:t>Average estimated arrival time observed.</w:t>
            </w:r>
          </w:p>
        </w:tc>
      </w:tr>
      <w:tr>
        <w:tc>
          <w:tcPr>
            <w:tcW w:type="dxa" w:w="3408"/>
          </w:tcPr>
          <w:p>
            <w:r>
              <w:rPr>
                <w:sz w:val="18"/>
              </w:rPr>
              <w:t>Average time to cancellation</w:t>
            </w:r>
          </w:p>
        </w:tc>
        <w:tc>
          <w:tcPr>
            <w:tcW w:type="dxa" w:w="3408"/>
          </w:tcPr>
          <w:p>
            <w:r>
              <w:rPr>
                <w:sz w:val="18"/>
              </w:rPr>
              <w:t>2.74 min</w:t>
            </w:r>
          </w:p>
        </w:tc>
        <w:tc>
          <w:tcPr>
            <w:tcW w:type="dxa" w:w="3408"/>
          </w:tcPr>
          <w:p>
            <w:r>
              <w:rPr>
                <w:sz w:val="18"/>
              </w:rPr>
              <w:t>Average time until cancellation in the analyzed cancellations.</w:t>
            </w:r>
          </w:p>
        </w:tc>
      </w:tr>
    </w:tbl>
    <w:p/>
    <w:p>
      <w:pPr>
        <w:pStyle w:val="Heading1"/>
      </w:pPr>
      <w:r>
        <w:t>3. Where Are Failures Happening?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8"/>
              </w:rPr>
              <w:t>Failure type</w:t>
            </w:r>
          </w:p>
        </w:tc>
        <w:tc>
          <w:tcPr>
            <w:tcW w:type="dxa" w:w="2556"/>
            <w:shd w:fill="D9EAF7"/>
          </w:tcPr>
          <w:p>
            <w:r>
              <w:rPr>
                <w:b/>
                <w:sz w:val="18"/>
              </w:rPr>
              <w:t>Orders</w:t>
            </w:r>
          </w:p>
        </w:tc>
        <w:tc>
          <w:tcPr>
            <w:tcW w:type="dxa" w:w="2556"/>
            <w:shd w:fill="D9EAF7"/>
          </w:tcPr>
          <w:p>
            <w:r>
              <w:rPr>
                <w:b/>
                <w:sz w:val="18"/>
              </w:rPr>
              <w:t>Share</w:t>
            </w:r>
          </w:p>
        </w:tc>
        <w:tc>
          <w:tcPr>
            <w:tcW w:type="dxa" w:w="2556"/>
            <w:shd w:fill="D9EAF7"/>
          </w:tcPr>
          <w:p>
            <w:r>
              <w:rPr>
                <w:b/>
                <w:sz w:val="18"/>
              </w:rPr>
              <w:t>Business meaning</w:t>
            </w:r>
          </w:p>
        </w:tc>
      </w:tr>
      <w:tr>
        <w:tc>
          <w:tcPr>
            <w:tcW w:type="dxa" w:w="2556"/>
          </w:tcPr>
          <w:p>
            <w:r>
              <w:rPr>
                <w:sz w:val="18"/>
              </w:rPr>
              <w:t>Cancelled + Unassigned</w:t>
            </w:r>
          </w:p>
        </w:tc>
        <w:tc>
          <w:tcPr>
            <w:tcW w:type="dxa" w:w="2556"/>
          </w:tcPr>
          <w:p>
            <w:r>
              <w:rPr>
                <w:sz w:val="18"/>
              </w:rPr>
              <w:t>13,435</w:t>
            </w:r>
          </w:p>
        </w:tc>
        <w:tc>
          <w:tcPr>
            <w:tcW w:type="dxa" w:w="2556"/>
          </w:tcPr>
          <w:p>
            <w:r>
              <w:rPr>
                <w:sz w:val="18"/>
              </w:rPr>
              <w:t>42.96%</w:t>
            </w:r>
          </w:p>
        </w:tc>
        <w:tc>
          <w:tcPr>
            <w:tcW w:type="dxa" w:w="2556"/>
          </w:tcPr>
          <w:p>
            <w:r>
              <w:rPr>
                <w:sz w:val="18"/>
              </w:rPr>
              <w:t>Customer cancels while still waiting for a driver.</w:t>
            </w:r>
          </w:p>
        </w:tc>
      </w:tr>
      <w:tr>
        <w:tc>
          <w:tcPr>
            <w:tcW w:type="dxa" w:w="2556"/>
          </w:tcPr>
          <w:p>
            <w:r>
              <w:rPr>
                <w:sz w:val="18"/>
              </w:rPr>
              <w:t>Cancelled + Assigned</w:t>
            </w:r>
          </w:p>
        </w:tc>
        <w:tc>
          <w:tcPr>
            <w:tcW w:type="dxa" w:w="2556"/>
          </w:tcPr>
          <w:p>
            <w:r>
              <w:rPr>
                <w:sz w:val="18"/>
              </w:rPr>
              <w:t>8,360</w:t>
            </w:r>
          </w:p>
        </w:tc>
        <w:tc>
          <w:tcPr>
            <w:tcW w:type="dxa" w:w="2556"/>
          </w:tcPr>
          <w:p>
            <w:r>
              <w:rPr>
                <w:sz w:val="18"/>
              </w:rPr>
              <w:t>26.74%</w:t>
            </w:r>
          </w:p>
        </w:tc>
        <w:tc>
          <w:tcPr>
            <w:tcW w:type="dxa" w:w="2556"/>
          </w:tcPr>
          <w:p>
            <w:r>
              <w:rPr>
                <w:sz w:val="18"/>
              </w:rPr>
              <w:t>Customer cancels after a driver has been assigned.</w:t>
            </w:r>
          </w:p>
        </w:tc>
      </w:tr>
      <w:tr>
        <w:tc>
          <w:tcPr>
            <w:tcW w:type="dxa" w:w="2556"/>
          </w:tcPr>
          <w:p>
            <w:r>
              <w:rPr>
                <w:sz w:val="18"/>
              </w:rPr>
              <w:t>System Reject + Unassigned</w:t>
            </w:r>
          </w:p>
        </w:tc>
        <w:tc>
          <w:tcPr>
            <w:tcW w:type="dxa" w:w="2556"/>
          </w:tcPr>
          <w:p>
            <w:r>
              <w:rPr>
                <w:sz w:val="18"/>
              </w:rPr>
              <w:t>9,469</w:t>
            </w:r>
          </w:p>
        </w:tc>
        <w:tc>
          <w:tcPr>
            <w:tcW w:type="dxa" w:w="2556"/>
          </w:tcPr>
          <w:p>
            <w:r>
              <w:rPr>
                <w:sz w:val="18"/>
              </w:rPr>
              <w:t>30.28%</w:t>
            </w:r>
          </w:p>
        </w:tc>
        <w:tc>
          <w:tcPr>
            <w:tcW w:type="dxa" w:w="2556"/>
          </w:tcPr>
          <w:p>
            <w:r>
              <w:rPr>
                <w:sz w:val="18"/>
              </w:rPr>
              <w:t>Platform fails to fulfil the request before assignment.</w:t>
            </w:r>
          </w:p>
        </w:tc>
      </w:tr>
      <w:tr>
        <w:tc>
          <w:tcPr>
            <w:tcW w:type="dxa" w:w="2556"/>
          </w:tcPr>
          <w:p>
            <w:r>
              <w:rPr>
                <w:sz w:val="18"/>
              </w:rPr>
              <w:t>System Reject + Assigned</w:t>
            </w:r>
          </w:p>
        </w:tc>
        <w:tc>
          <w:tcPr>
            <w:tcW w:type="dxa" w:w="2556"/>
          </w:tcPr>
          <w:p>
            <w:r>
              <w:rPr>
                <w:sz w:val="18"/>
              </w:rPr>
              <w:t>4</w:t>
            </w:r>
          </w:p>
        </w:tc>
        <w:tc>
          <w:tcPr>
            <w:tcW w:type="dxa" w:w="2556"/>
          </w:tcPr>
          <w:p>
            <w:r>
              <w:rPr>
                <w:sz w:val="18"/>
              </w:rPr>
              <w:t>0.02%</w:t>
            </w:r>
          </w:p>
        </w:tc>
        <w:tc>
          <w:tcPr>
            <w:tcW w:type="dxa" w:w="2556"/>
          </w:tcPr>
          <w:p>
            <w:r>
              <w:rPr>
                <w:sz w:val="18"/>
              </w:rPr>
              <w:t>Very small category.</w:t>
            </w:r>
          </w:p>
        </w:tc>
      </w:tr>
    </w:tbl>
    <w:p/>
    <w:p>
      <w:r>
        <w:rPr>
          <w:b/>
        </w:rPr>
        <w:t>Key finding</w:t>
        <w:br/>
      </w:r>
      <w:r>
        <w:t>73.24% of failures occur before driver assignment. Therefore, the largest opportunity is improving initial matching and driver supply—not only reducing cancellations after assignment.</w:t>
      </w:r>
    </w:p>
    <w:p>
      <w:pPr>
        <w:pStyle w:val="Heading1"/>
      </w:pPr>
      <w:r>
        <w:t>4. What Does “Target the First 2 Minutes” Mean?</w:t>
      </w:r>
    </w:p>
    <w:p>
      <w:r>
        <w:t>Customers without a driver assigned cancel after an average of about 2.01 minutes. This means the first two minutes are a critical operational window. The goal is not simply to make customers wait longer; the goal is to either assign a driver faster or make the waiting experience clearer and more reassuring.</w:t>
      </w:r>
    </w:p>
    <w:p>
      <w:pPr>
        <w:pStyle w:val="Heading2"/>
      </w:pPr>
      <w:r>
        <w:t>Recommended 90-second intervention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Time</w:t>
            </w:r>
          </w:p>
        </w:tc>
        <w:tc>
          <w:tcPr>
            <w:tcW w:type="dxa" w:w="3408"/>
            <w:shd w:fill="D9EAF7"/>
          </w:tcPr>
          <w:p>
            <w:r>
              <w:rPr>
                <w:b/>
                <w:sz w:val="18"/>
              </w:rPr>
              <w:t>Recommended action</w:t>
            </w:r>
          </w:p>
        </w:tc>
        <w:tc>
          <w:tcPr>
            <w:tcW w:type="dxa" w:w="3408"/>
            <w:shd w:fill="D9EAF7"/>
          </w:tcPr>
          <w:p>
            <w:r>
              <w:rPr>
                <w:b/>
                <w:sz w:val="18"/>
              </w:rPr>
              <w:t>Why</w:t>
            </w:r>
          </w:p>
        </w:tc>
      </w:tr>
      <w:tr>
        <w:tc>
          <w:tcPr>
            <w:tcW w:type="dxa" w:w="3408"/>
          </w:tcPr>
          <w:p>
            <w:r>
              <w:rPr>
                <w:sz w:val="18"/>
              </w:rPr>
              <w:t>0–30 sec</w:t>
            </w:r>
          </w:p>
        </w:tc>
        <w:tc>
          <w:tcPr>
            <w:tcW w:type="dxa" w:w="3408"/>
          </w:tcPr>
          <w:p>
            <w:r>
              <w:rPr>
                <w:sz w:val="18"/>
              </w:rPr>
              <w:t>Normal matching + clear status</w:t>
            </w:r>
          </w:p>
        </w:tc>
        <w:tc>
          <w:tcPr>
            <w:tcW w:type="dxa" w:w="3408"/>
          </w:tcPr>
          <w:p>
            <w:r>
              <w:rPr>
                <w:sz w:val="18"/>
              </w:rPr>
              <w:t>Give the dispatch system time to find a driver.</w:t>
            </w:r>
          </w:p>
        </w:tc>
      </w:tr>
      <w:tr>
        <w:tc>
          <w:tcPr>
            <w:tcW w:type="dxa" w:w="3408"/>
          </w:tcPr>
          <w:p>
            <w:r>
              <w:rPr>
                <w:sz w:val="18"/>
              </w:rPr>
              <w:t>30–60 sec</w:t>
            </w:r>
          </w:p>
        </w:tc>
        <w:tc>
          <w:tcPr>
            <w:tcW w:type="dxa" w:w="3408"/>
          </w:tcPr>
          <w:p>
            <w:r>
              <w:rPr>
                <w:sz w:val="18"/>
              </w:rPr>
              <w:t>Show progress if matching is slow</w:t>
            </w:r>
          </w:p>
        </w:tc>
        <w:tc>
          <w:tcPr>
            <w:tcW w:type="dxa" w:w="3408"/>
          </w:tcPr>
          <w:p>
            <w:r>
              <w:rPr>
                <w:sz w:val="18"/>
              </w:rPr>
              <w:t>Reduce uncertainty.</w:t>
            </w:r>
          </w:p>
        </w:tc>
      </w:tr>
      <w:tr>
        <w:tc>
          <w:tcPr>
            <w:tcW w:type="dxa" w:w="3408"/>
          </w:tcPr>
          <w:p>
            <w:r>
              <w:rPr>
                <w:sz w:val="18"/>
              </w:rPr>
              <w:t>60–90 sec</w:t>
            </w:r>
          </w:p>
        </w:tc>
        <w:tc>
          <w:tcPr>
            <w:tcW w:type="dxa" w:w="3408"/>
          </w:tcPr>
          <w:p>
            <w:r>
              <w:rPr>
                <w:sz w:val="18"/>
              </w:rPr>
              <w:t>Prioritize nearby driver search / improve dispatch visibility</w:t>
            </w:r>
          </w:p>
        </w:tc>
        <w:tc>
          <w:tcPr>
            <w:tcW w:type="dxa" w:w="3408"/>
          </w:tcPr>
          <w:p>
            <w:r>
              <w:rPr>
                <w:sz w:val="18"/>
              </w:rPr>
              <w:t>Increase chance of assignment.</w:t>
            </w:r>
          </w:p>
        </w:tc>
      </w:tr>
      <w:tr>
        <w:tc>
          <w:tcPr>
            <w:tcW w:type="dxa" w:w="3408"/>
          </w:tcPr>
          <w:p>
            <w:r>
              <w:rPr>
                <w:sz w:val="18"/>
              </w:rPr>
              <w:t>~90 sec</w:t>
            </w:r>
          </w:p>
        </w:tc>
        <w:tc>
          <w:tcPr>
            <w:tcW w:type="dxa" w:w="3408"/>
          </w:tcPr>
          <w:p>
            <w:r>
              <w:rPr>
                <w:sz w:val="18"/>
              </w:rPr>
              <w:t>Send proactive status update; test targeted incentive for high-risk users</w:t>
            </w:r>
          </w:p>
        </w:tc>
        <w:tc>
          <w:tcPr>
            <w:tcW w:type="dxa" w:w="3408"/>
          </w:tcPr>
          <w:p>
            <w:r>
              <w:rPr>
                <w:sz w:val="18"/>
              </w:rPr>
              <w:t>Intervene before the observed ~2-minute cancellation point.</w:t>
            </w:r>
          </w:p>
        </w:tc>
      </w:tr>
      <w:tr>
        <w:tc>
          <w:tcPr>
            <w:tcW w:type="dxa" w:w="3408"/>
          </w:tcPr>
          <w:p>
            <w:r>
              <w:rPr>
                <w:sz w:val="18"/>
              </w:rPr>
              <w:t>~2 min+</w:t>
            </w:r>
          </w:p>
        </w:tc>
        <w:tc>
          <w:tcPr>
            <w:tcW w:type="dxa" w:w="3408"/>
          </w:tcPr>
          <w:p>
            <w:r>
              <w:rPr>
                <w:sz w:val="18"/>
              </w:rPr>
              <w:t>Escalate matching or offer an alternative/targeted retention action</w:t>
            </w:r>
          </w:p>
        </w:tc>
        <w:tc>
          <w:tcPr>
            <w:tcW w:type="dxa" w:w="3408"/>
          </w:tcPr>
          <w:p>
            <w:r>
              <w:rPr>
                <w:sz w:val="18"/>
              </w:rPr>
              <w:t>Prevent avoidable abandonment where economically viable.</w:t>
            </w:r>
          </w:p>
        </w:tc>
      </w:tr>
    </w:tbl>
    <w:p/>
    <w:p>
      <w:pPr>
        <w:pStyle w:val="Heading2"/>
      </w:pPr>
      <w:r>
        <w:t>Example</w:t>
      </w:r>
    </w:p>
    <w:p>
      <w:pPr>
        <w:pStyle w:val="ListBullet"/>
      </w:pPr>
      <w:r>
        <w:t>10:00:00 — Customer requests a ride.</w:t>
      </w:r>
    </w:p>
    <w:p>
      <w:pPr>
        <w:pStyle w:val="ListBullet"/>
      </w:pPr>
      <w:r>
        <w:t>10:01:00 — No driver has been assigned. Show: “We are still finding the closest available driver.”</w:t>
      </w:r>
    </w:p>
    <w:p>
      <w:pPr>
        <w:pStyle w:val="ListBullet"/>
      </w:pPr>
      <w:r>
        <w:t>10:01:30 — Customer reaches the 90-second risk point. Show a more useful update such as expected search time, or provide a targeted offer if the customer is predicted to cancel.</w:t>
      </w:r>
    </w:p>
    <w:p>
      <w:pPr>
        <w:pStyle w:val="ListBullet"/>
      </w:pPr>
      <w:r>
        <w:t>10:02:00 — Customer reaches the approximate observed average cancellation point for unassigned rides.</w:t>
      </w:r>
    </w:p>
    <w:p>
      <w:r>
        <w:rPr>
          <w:b/>
        </w:rPr>
        <w:t>Important</w:t>
        <w:br/>
      </w:r>
      <w:r>
        <w:t>The 90-second point is a business experiment, not a proven universal threshold. It should be tested through A/B testing to determine whether messages or incentives actually increase completed rides.</w:t>
      </w:r>
    </w:p>
    <w:p>
      <w:pPr>
        <w:pStyle w:val="Heading1"/>
      </w:pPr>
      <w:r>
        <w:t>5. Shift-Level Findings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8"/>
              </w:rPr>
              <w:t>Shift</w:t>
            </w:r>
          </w:p>
        </w:tc>
        <w:tc>
          <w:tcPr>
            <w:tcW w:type="dxa" w:w="2045"/>
            <w:shd w:fill="D9EAF7"/>
          </w:tcPr>
          <w:p>
            <w:r>
              <w:rPr>
                <w:b/>
                <w:sz w:val="18"/>
              </w:rPr>
              <w:t>Cancelled</w:t>
            </w:r>
          </w:p>
        </w:tc>
        <w:tc>
          <w:tcPr>
            <w:tcW w:type="dxa" w:w="2045"/>
            <w:shd w:fill="D9EAF7"/>
          </w:tcPr>
          <w:p>
            <w:r>
              <w:rPr>
                <w:b/>
                <w:sz w:val="18"/>
              </w:rPr>
              <w:t>Failed</w:t>
            </w:r>
          </w:p>
        </w:tc>
        <w:tc>
          <w:tcPr>
            <w:tcW w:type="dxa" w:w="2045"/>
            <w:shd w:fill="D9EAF7"/>
          </w:tcPr>
          <w:p>
            <w:r>
              <w:rPr>
                <w:b/>
                <w:sz w:val="18"/>
              </w:rPr>
              <w:t>Cancellation rate</w:t>
            </w:r>
          </w:p>
        </w:tc>
        <w:tc>
          <w:tcPr>
            <w:tcW w:type="dxa" w:w="2045"/>
            <w:shd w:fill="D9EAF7"/>
          </w:tcPr>
          <w:p>
            <w:r>
              <w:rPr>
                <w:b/>
                <w:sz w:val="18"/>
              </w:rPr>
              <w:t>Interpretation</w:t>
            </w:r>
          </w:p>
        </w:tc>
      </w:tr>
      <w:tr>
        <w:tc>
          <w:tcPr>
            <w:tcW w:type="dxa" w:w="2045"/>
          </w:tcPr>
          <w:p>
            <w:r>
              <w:rPr>
                <w:sz w:val="18"/>
              </w:rPr>
              <w:t>Mid-Day / Off-Peak</w:t>
            </w:r>
          </w:p>
        </w:tc>
        <w:tc>
          <w:tcPr>
            <w:tcW w:type="dxa" w:w="2045"/>
          </w:tcPr>
          <w:p>
            <w:r>
              <w:rPr>
                <w:sz w:val="18"/>
              </w:rPr>
              <w:t>4,266</w:t>
            </w:r>
          </w:p>
        </w:tc>
        <w:tc>
          <w:tcPr>
            <w:tcW w:type="dxa" w:w="2045"/>
          </w:tcPr>
          <w:p>
            <w:r>
              <w:rPr>
                <w:sz w:val="18"/>
              </w:rPr>
              <w:t>5,288</w:t>
            </w:r>
          </w:p>
        </w:tc>
        <w:tc>
          <w:tcPr>
            <w:tcW w:type="dxa" w:w="2045"/>
          </w:tcPr>
          <w:p>
            <w:r>
              <w:rPr>
                <w:sz w:val="18"/>
              </w:rPr>
              <w:t>80.67%</w:t>
            </w:r>
          </w:p>
        </w:tc>
        <w:tc>
          <w:tcPr>
            <w:tcW w:type="dxa" w:w="2045"/>
          </w:tcPr>
          <w:p>
            <w:r>
              <w:rPr>
                <w:sz w:val="18"/>
              </w:rPr>
              <w:t>Highest cancellation rate; customers show strong drop-off.</w:t>
            </w:r>
          </w:p>
        </w:tc>
      </w:tr>
      <w:tr>
        <w:tc>
          <w:tcPr>
            <w:tcW w:type="dxa" w:w="2045"/>
          </w:tcPr>
          <w:p>
            <w:r>
              <w:rPr>
                <w:sz w:val="18"/>
              </w:rPr>
              <w:t>Evening Peak</w:t>
            </w:r>
          </w:p>
        </w:tc>
        <w:tc>
          <w:tcPr>
            <w:tcW w:type="dxa" w:w="2045"/>
          </w:tcPr>
          <w:p>
            <w:r>
              <w:rPr>
                <w:sz w:val="18"/>
              </w:rPr>
              <w:t>3,602</w:t>
            </w:r>
          </w:p>
        </w:tc>
        <w:tc>
          <w:tcPr>
            <w:tcW w:type="dxa" w:w="2045"/>
          </w:tcPr>
          <w:p>
            <w:r>
              <w:rPr>
                <w:sz w:val="18"/>
              </w:rPr>
              <w:t>4,701</w:t>
            </w:r>
          </w:p>
        </w:tc>
        <w:tc>
          <w:tcPr>
            <w:tcW w:type="dxa" w:w="2045"/>
          </w:tcPr>
          <w:p>
            <w:r>
              <w:rPr>
                <w:sz w:val="18"/>
              </w:rPr>
              <w:t>76.62%</w:t>
            </w:r>
          </w:p>
        </w:tc>
        <w:tc>
          <w:tcPr>
            <w:tcW w:type="dxa" w:w="2045"/>
          </w:tcPr>
          <w:p>
            <w:r>
              <w:rPr>
                <w:sz w:val="18"/>
              </w:rPr>
              <w:t>Likely supply pressure during high demand.</w:t>
            </w:r>
          </w:p>
        </w:tc>
      </w:tr>
      <w:tr>
        <w:tc>
          <w:tcPr>
            <w:tcW w:type="dxa" w:w="2045"/>
          </w:tcPr>
          <w:p>
            <w:r>
              <w:rPr>
                <w:sz w:val="18"/>
              </w:rPr>
              <w:t>Early Morning</w:t>
            </w:r>
          </w:p>
        </w:tc>
        <w:tc>
          <w:tcPr>
            <w:tcW w:type="dxa" w:w="2045"/>
          </w:tcPr>
          <w:p>
            <w:r>
              <w:rPr>
                <w:sz w:val="18"/>
              </w:rPr>
              <w:t>361</w:t>
            </w:r>
          </w:p>
        </w:tc>
        <w:tc>
          <w:tcPr>
            <w:tcW w:type="dxa" w:w="2045"/>
          </w:tcPr>
          <w:p>
            <w:r>
              <w:rPr>
                <w:sz w:val="18"/>
              </w:rPr>
              <w:t>503</w:t>
            </w:r>
          </w:p>
        </w:tc>
        <w:tc>
          <w:tcPr>
            <w:tcW w:type="dxa" w:w="2045"/>
          </w:tcPr>
          <w:p>
            <w:r>
              <w:rPr>
                <w:sz w:val="18"/>
              </w:rPr>
              <w:t>71.77%</w:t>
            </w:r>
          </w:p>
        </w:tc>
        <w:tc>
          <w:tcPr>
            <w:tcW w:type="dxa" w:w="2045"/>
          </w:tcPr>
          <w:p>
            <w:r>
              <w:rPr>
                <w:sz w:val="18"/>
              </w:rPr>
              <w:t>Low volume; monitor.</w:t>
            </w:r>
          </w:p>
        </w:tc>
      </w:tr>
      <w:tr>
        <w:tc>
          <w:tcPr>
            <w:tcW w:type="dxa" w:w="2045"/>
          </w:tcPr>
          <w:p>
            <w:r>
              <w:rPr>
                <w:sz w:val="18"/>
              </w:rPr>
              <w:t>Morning Peak</w:t>
            </w:r>
          </w:p>
        </w:tc>
        <w:tc>
          <w:tcPr>
            <w:tcW w:type="dxa" w:w="2045"/>
          </w:tcPr>
          <w:p>
            <w:r>
              <w:rPr>
                <w:sz w:val="18"/>
              </w:rPr>
              <w:t>4,881</w:t>
            </w:r>
          </w:p>
        </w:tc>
        <w:tc>
          <w:tcPr>
            <w:tcW w:type="dxa" w:w="2045"/>
          </w:tcPr>
          <w:p>
            <w:r>
              <w:rPr>
                <w:sz w:val="18"/>
              </w:rPr>
              <w:t>7,076</w:t>
            </w:r>
          </w:p>
        </w:tc>
        <w:tc>
          <w:tcPr>
            <w:tcW w:type="dxa" w:w="2045"/>
          </w:tcPr>
          <w:p>
            <w:r>
              <w:rPr>
                <w:sz w:val="18"/>
              </w:rPr>
              <w:t>68.98%</w:t>
            </w:r>
          </w:p>
        </w:tc>
        <w:tc>
          <w:tcPr>
            <w:tcW w:type="dxa" w:w="2045"/>
          </w:tcPr>
          <w:p>
            <w:r>
              <w:rPr>
                <w:sz w:val="18"/>
              </w:rPr>
              <w:t>High demand and high ETA create an opportunity for driver repositioning.</w:t>
            </w:r>
          </w:p>
        </w:tc>
      </w:tr>
      <w:tr>
        <w:tc>
          <w:tcPr>
            <w:tcW w:type="dxa" w:w="2045"/>
          </w:tcPr>
          <w:p>
            <w:r>
              <w:rPr>
                <w:sz w:val="18"/>
              </w:rPr>
              <w:t>Night Shift</w:t>
            </w:r>
          </w:p>
        </w:tc>
        <w:tc>
          <w:tcPr>
            <w:tcW w:type="dxa" w:w="2045"/>
          </w:tcPr>
          <w:p>
            <w:r>
              <w:rPr>
                <w:sz w:val="18"/>
              </w:rPr>
              <w:t>4,703</w:t>
            </w:r>
          </w:p>
        </w:tc>
        <w:tc>
          <w:tcPr>
            <w:tcW w:type="dxa" w:w="2045"/>
          </w:tcPr>
          <w:p>
            <w:r>
              <w:rPr>
                <w:sz w:val="18"/>
              </w:rPr>
              <w:t>7,282</w:t>
            </w:r>
          </w:p>
        </w:tc>
        <w:tc>
          <w:tcPr>
            <w:tcW w:type="dxa" w:w="2045"/>
          </w:tcPr>
          <w:p>
            <w:r>
              <w:rPr>
                <w:sz w:val="18"/>
              </w:rPr>
              <w:t>64.58%</w:t>
            </w:r>
          </w:p>
        </w:tc>
        <w:tc>
          <w:tcPr>
            <w:tcW w:type="dxa" w:w="2045"/>
          </w:tcPr>
          <w:p>
            <w:r>
              <w:rPr>
                <w:sz w:val="18"/>
              </w:rPr>
              <w:t>Large failure volume; system rejection and unassigned cancellation both matter.</w:t>
            </w:r>
          </w:p>
        </w:tc>
      </w:tr>
      <w:tr>
        <w:tc>
          <w:tcPr>
            <w:tcW w:type="dxa" w:w="2045"/>
          </w:tcPr>
          <w:p>
            <w:r>
              <w:rPr>
                <w:sz w:val="18"/>
              </w:rPr>
              <w:t>Mid-Night Owl</w:t>
            </w:r>
          </w:p>
        </w:tc>
        <w:tc>
          <w:tcPr>
            <w:tcW w:type="dxa" w:w="2045"/>
          </w:tcPr>
          <w:p>
            <w:r>
              <w:rPr>
                <w:sz w:val="18"/>
              </w:rPr>
              <w:t>3,982</w:t>
            </w:r>
          </w:p>
        </w:tc>
        <w:tc>
          <w:tcPr>
            <w:tcW w:type="dxa" w:w="2045"/>
          </w:tcPr>
          <w:p>
            <w:r>
              <w:rPr>
                <w:sz w:val="18"/>
              </w:rPr>
              <w:t>6,418</w:t>
            </w:r>
          </w:p>
        </w:tc>
        <w:tc>
          <w:tcPr>
            <w:tcW w:type="dxa" w:w="2045"/>
          </w:tcPr>
          <w:p>
            <w:r>
              <w:rPr>
                <w:sz w:val="18"/>
              </w:rPr>
              <w:t>62.04%</w:t>
            </w:r>
          </w:p>
        </w:tc>
        <w:tc>
          <w:tcPr>
            <w:tcW w:type="dxa" w:w="2045"/>
          </w:tcPr>
          <w:p>
            <w:r>
              <w:rPr>
                <w:sz w:val="18"/>
              </w:rPr>
              <w:t>Driver shortage remains a concern during late hours.</w:t>
            </w:r>
          </w:p>
        </w:tc>
      </w:tr>
    </w:tbl>
    <w:p/>
    <w:p>
      <w:r>
        <w:rPr>
          <w:b/>
        </w:rPr>
        <w:t>Stakeholder interpretation</w:t>
        <w:br/>
      </w:r>
      <w:r>
        <w:t>Use both cancellation rate and failure volume. Mid-Day has the highest rate, but Night Shift has a large absolute number of failures. These require different operational responses.</w:t>
      </w:r>
    </w:p>
    <w:p>
      <w:pPr>
        <w:pStyle w:val="Heading1"/>
      </w:pPr>
      <w:r>
        <w:t>6. Waiting Time vs Driver Assignment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Situation</w:t>
            </w:r>
          </w:p>
        </w:tc>
        <w:tc>
          <w:tcPr>
            <w:tcW w:type="dxa" w:w="3408"/>
            <w:shd w:fill="D9EAF7"/>
          </w:tcPr>
          <w:p>
            <w:r>
              <w:rPr>
                <w:b/>
                <w:sz w:val="18"/>
              </w:rPr>
              <w:t>Average cancellation timing</w:t>
            </w:r>
          </w:p>
        </w:tc>
        <w:tc>
          <w:tcPr>
            <w:tcW w:type="dxa" w:w="3408"/>
            <w:shd w:fill="D9EAF7"/>
          </w:tcPr>
          <w:p>
            <w:r>
              <w:rPr>
                <w:b/>
                <w:sz w:val="18"/>
              </w:rPr>
              <w:t>Interpretation</w:t>
            </w:r>
          </w:p>
        </w:tc>
      </w:tr>
      <w:tr>
        <w:tc>
          <w:tcPr>
            <w:tcW w:type="dxa" w:w="3408"/>
          </w:tcPr>
          <w:p>
            <w:r>
              <w:rPr>
                <w:sz w:val="18"/>
              </w:rPr>
              <w:t>No driver assigned</w:t>
            </w:r>
          </w:p>
        </w:tc>
        <w:tc>
          <w:tcPr>
            <w:tcW w:type="dxa" w:w="3408"/>
          </w:tcPr>
          <w:p>
            <w:r>
              <w:rPr>
                <w:sz w:val="18"/>
              </w:rPr>
              <w:t>2.01 min</w:t>
            </w:r>
          </w:p>
        </w:tc>
        <w:tc>
          <w:tcPr>
            <w:tcW w:type="dxa" w:w="3408"/>
          </w:tcPr>
          <w:p>
            <w:r>
              <w:rPr>
                <w:sz w:val="18"/>
              </w:rPr>
              <w:t>Customers abandon quickly when there is no visible progress.</w:t>
            </w:r>
          </w:p>
        </w:tc>
      </w:tr>
      <w:tr>
        <w:tc>
          <w:tcPr>
            <w:tcW w:type="dxa" w:w="3408"/>
          </w:tcPr>
          <w:p>
            <w:r>
              <w:rPr>
                <w:sz w:val="18"/>
              </w:rPr>
              <w:t>Driver assigned</w:t>
            </w:r>
          </w:p>
        </w:tc>
        <w:tc>
          <w:tcPr>
            <w:tcW w:type="dxa" w:w="3408"/>
          </w:tcPr>
          <w:p>
            <w:r>
              <w:rPr>
                <w:sz w:val="18"/>
              </w:rPr>
              <w:t>3.20–5.07 min</w:t>
            </w:r>
          </w:p>
        </w:tc>
        <w:tc>
          <w:tcPr>
            <w:tcW w:type="dxa" w:w="3408"/>
          </w:tcPr>
          <w:p>
            <w:r>
              <w:rPr>
                <w:sz w:val="18"/>
              </w:rPr>
              <w:t>Customers generally tolerate a longer wait once a driver exists.</w:t>
            </w:r>
          </w:p>
        </w:tc>
      </w:tr>
    </w:tbl>
    <w:p/>
    <w:p>
      <w:r>
        <w:t>This suggests that assignment itself improves the customer's confidence. A customer may accept a few minutes of waiting when they know a driver is coming, but may cancel quickly when the platform continues searching without progress.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Example</w:t>
            </w:r>
          </w:p>
        </w:tc>
        <w:tc>
          <w:tcPr>
            <w:tcW w:type="dxa" w:w="3408"/>
            <w:shd w:fill="D9EAF7"/>
          </w:tcPr>
          <w:p>
            <w:r>
              <w:rPr>
                <w:b/>
                <w:sz w:val="18"/>
              </w:rPr>
              <w:t>Avg wait to cancel</w:t>
            </w:r>
          </w:p>
        </w:tc>
        <w:tc>
          <w:tcPr>
            <w:tcW w:type="dxa" w:w="3408"/>
            <w:shd w:fill="D9EAF7"/>
          </w:tcPr>
          <w:p>
            <w:r>
              <w:rPr>
                <w:b/>
                <w:sz w:val="18"/>
              </w:rPr>
              <w:t>Avg ETA</w:t>
            </w:r>
          </w:p>
        </w:tc>
      </w:tr>
      <w:tr>
        <w:tc>
          <w:tcPr>
            <w:tcW w:type="dxa" w:w="3408"/>
          </w:tcPr>
          <w:p>
            <w:r>
              <w:rPr>
                <w:sz w:val="18"/>
              </w:rPr>
              <w:t>Morning Peak</w:t>
            </w:r>
          </w:p>
        </w:tc>
        <w:tc>
          <w:tcPr>
            <w:tcW w:type="dxa" w:w="3408"/>
          </w:tcPr>
          <w:p>
            <w:r>
              <w:rPr>
                <w:sz w:val="18"/>
              </w:rPr>
              <w:t>3.20 min</w:t>
            </w:r>
          </w:p>
        </w:tc>
        <w:tc>
          <w:tcPr>
            <w:tcW w:type="dxa" w:w="3408"/>
          </w:tcPr>
          <w:p>
            <w:r>
              <w:rPr>
                <w:sz w:val="18"/>
              </w:rPr>
              <w:t>10.3 min</w:t>
            </w:r>
          </w:p>
        </w:tc>
      </w:tr>
      <w:tr>
        <w:tc>
          <w:tcPr>
            <w:tcW w:type="dxa" w:w="3408"/>
          </w:tcPr>
          <w:p>
            <w:r>
              <w:rPr>
                <w:sz w:val="18"/>
              </w:rPr>
              <w:t>Mid-Night Owl</w:t>
            </w:r>
          </w:p>
        </w:tc>
        <w:tc>
          <w:tcPr>
            <w:tcW w:type="dxa" w:w="3408"/>
          </w:tcPr>
          <w:p>
            <w:r>
              <w:rPr>
                <w:sz w:val="18"/>
              </w:rPr>
              <w:t>5.07 min</w:t>
            </w:r>
          </w:p>
        </w:tc>
        <w:tc>
          <w:tcPr>
            <w:tcW w:type="dxa" w:w="3408"/>
          </w:tcPr>
          <w:p>
            <w:r>
              <w:rPr>
                <w:sz w:val="18"/>
              </w:rPr>
              <w:t>6.13 min</w:t>
            </w:r>
          </w:p>
        </w:tc>
      </w:tr>
    </w:tbl>
    <w:p/>
    <w:p>
      <w:pPr>
        <w:pStyle w:val="Heading1"/>
      </w:pPr>
      <w:r>
        <w:t>7. ETA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8"/>
              </w:rPr>
              <w:t>ETA bucket</w:t>
            </w:r>
          </w:p>
        </w:tc>
        <w:tc>
          <w:tcPr>
            <w:tcW w:type="dxa" w:w="3408"/>
            <w:shd w:fill="D9EAF7"/>
          </w:tcPr>
          <w:p>
            <w:r>
              <w:rPr>
                <w:b/>
                <w:sz w:val="18"/>
              </w:rPr>
              <w:t>Cancelled orders</w:t>
            </w:r>
          </w:p>
        </w:tc>
        <w:tc>
          <w:tcPr>
            <w:tcW w:type="dxa" w:w="3408"/>
            <w:shd w:fill="D9EAF7"/>
          </w:tcPr>
          <w:p>
            <w:r>
              <w:rPr>
                <w:b/>
                <w:sz w:val="18"/>
              </w:rPr>
              <w:t>Median ETA</w:t>
            </w:r>
          </w:p>
        </w:tc>
      </w:tr>
      <w:tr>
        <w:tc>
          <w:tcPr>
            <w:tcW w:type="dxa" w:w="3408"/>
          </w:tcPr>
          <w:p>
            <w:r>
              <w:rPr>
                <w:sz w:val="18"/>
              </w:rPr>
              <w:t>5–8 min</w:t>
            </w:r>
          </w:p>
        </w:tc>
        <w:tc>
          <w:tcPr>
            <w:tcW w:type="dxa" w:w="3408"/>
          </w:tcPr>
          <w:p>
            <w:r>
              <w:rPr>
                <w:sz w:val="18"/>
              </w:rPr>
              <w:t>2,531</w:t>
            </w:r>
          </w:p>
        </w:tc>
        <w:tc>
          <w:tcPr>
            <w:tcW w:type="dxa" w:w="3408"/>
          </w:tcPr>
          <w:p>
            <w:r>
              <w:rPr>
                <w:sz w:val="18"/>
              </w:rPr>
              <w:t>6 min</w:t>
            </w:r>
          </w:p>
        </w:tc>
      </w:tr>
      <w:tr>
        <w:tc>
          <w:tcPr>
            <w:tcW w:type="dxa" w:w="3408"/>
          </w:tcPr>
          <w:p>
            <w:r>
              <w:rPr>
                <w:sz w:val="18"/>
              </w:rPr>
              <w:t>1–4 min</w:t>
            </w:r>
          </w:p>
        </w:tc>
        <w:tc>
          <w:tcPr>
            <w:tcW w:type="dxa" w:w="3408"/>
          </w:tcPr>
          <w:p>
            <w:r>
              <w:rPr>
                <w:sz w:val="18"/>
              </w:rPr>
              <w:t>2,446</w:t>
            </w:r>
          </w:p>
        </w:tc>
        <w:tc>
          <w:tcPr>
            <w:tcW w:type="dxa" w:w="3408"/>
          </w:tcPr>
          <w:p>
            <w:r>
              <w:rPr>
                <w:sz w:val="18"/>
              </w:rPr>
              <w:t>3 min</w:t>
            </w:r>
          </w:p>
        </w:tc>
      </w:tr>
      <w:tr>
        <w:tc>
          <w:tcPr>
            <w:tcW w:type="dxa" w:w="3408"/>
          </w:tcPr>
          <w:p>
            <w:r>
              <w:rPr>
                <w:sz w:val="18"/>
              </w:rPr>
              <w:t>9–12 min</w:t>
            </w:r>
          </w:p>
        </w:tc>
        <w:tc>
          <w:tcPr>
            <w:tcW w:type="dxa" w:w="3408"/>
          </w:tcPr>
          <w:p>
            <w:r>
              <w:rPr>
                <w:sz w:val="18"/>
              </w:rPr>
              <w:t>1,758</w:t>
            </w:r>
          </w:p>
        </w:tc>
        <w:tc>
          <w:tcPr>
            <w:tcW w:type="dxa" w:w="3408"/>
          </w:tcPr>
          <w:p>
            <w:r>
              <w:rPr>
                <w:sz w:val="18"/>
              </w:rPr>
              <w:t>10 min</w:t>
            </w:r>
          </w:p>
        </w:tc>
      </w:tr>
      <w:tr>
        <w:tc>
          <w:tcPr>
            <w:tcW w:type="dxa" w:w="3408"/>
          </w:tcPr>
          <w:p>
            <w:r>
              <w:rPr>
                <w:sz w:val="18"/>
              </w:rPr>
              <w:t>13–16 min</w:t>
            </w:r>
          </w:p>
        </w:tc>
        <w:tc>
          <w:tcPr>
            <w:tcW w:type="dxa" w:w="3408"/>
          </w:tcPr>
          <w:p>
            <w:r>
              <w:rPr>
                <w:sz w:val="18"/>
              </w:rPr>
              <w:t>1,279</w:t>
            </w:r>
          </w:p>
        </w:tc>
        <w:tc>
          <w:tcPr>
            <w:tcW w:type="dxa" w:w="3408"/>
          </w:tcPr>
          <w:p>
            <w:r>
              <w:rPr>
                <w:sz w:val="18"/>
              </w:rPr>
              <w:t>14 min</w:t>
            </w:r>
          </w:p>
        </w:tc>
      </w:tr>
      <w:tr>
        <w:tc>
          <w:tcPr>
            <w:tcW w:type="dxa" w:w="3408"/>
          </w:tcPr>
          <w:p>
            <w:r>
              <w:rPr>
                <w:sz w:val="18"/>
              </w:rPr>
              <w:t>14–20 min</w:t>
            </w:r>
          </w:p>
        </w:tc>
        <w:tc>
          <w:tcPr>
            <w:tcW w:type="dxa" w:w="3408"/>
          </w:tcPr>
          <w:p>
            <w:r>
              <w:rPr>
                <w:sz w:val="18"/>
              </w:rPr>
              <w:t>320</w:t>
            </w:r>
          </w:p>
        </w:tc>
        <w:tc>
          <w:tcPr>
            <w:tcW w:type="dxa" w:w="3408"/>
          </w:tcPr>
          <w:p>
            <w:r>
              <w:rPr>
                <w:sz w:val="18"/>
              </w:rPr>
              <w:t>18 min</w:t>
            </w:r>
          </w:p>
        </w:tc>
      </w:tr>
    </w:tbl>
    <w:p/>
    <w:p>
      <w:r>
        <w:t>A higher ETA is not the only explanation for cancellation. A large number of assigned cancellations happen at 1–8 minutes of ETA. This suggests that ETA changes, driver movement, pickup difficulty, customer plans, or communication may also influence cancellation.</w:t>
      </w:r>
    </w:p>
    <w:p>
      <w:r>
        <w:t>Note: the ETA ranges supplied for the report should be reviewed before production reporting because “13–16” and “14–20” overlap.</w:t>
      </w:r>
    </w:p>
    <w:p>
      <w:pPr>
        <w:pStyle w:val="Heading1"/>
      </w:pPr>
      <w:r>
        <w:t>8. Strategic Recommendations</w:t>
      </w:r>
    </w:p>
    <w:p>
      <w:pPr>
        <w:pStyle w:val="Heading2"/>
      </w:pPr>
      <w:r>
        <w:t>1. Protect the first 90 seconds</w:t>
      </w:r>
    </w:p>
    <w:p>
      <w:r>
        <w:t>Create a trigger for unassigned rides around 90 seconds. Provide a useful progress update and accelerate matching. Test discounts only for high-risk customers.</w:t>
      </w:r>
    </w:p>
    <w:p>
      <w:r>
        <w:t>KPIs: assignment rate within 90 sec, cancellation rate, time-to-assignment, cost per saved ride.</w:t>
      </w:r>
    </w:p>
    <w:p>
      <w:pPr>
        <w:pStyle w:val="Heading2"/>
      </w:pPr>
      <w:r>
        <w:t>2. Improve driver supply during high-risk periods</w:t>
      </w:r>
    </w:p>
    <w:p>
      <w:r>
        <w:t>Use demand forecasts and targeted driver incentives during Evening Peak and Night Shift.</w:t>
      </w:r>
    </w:p>
    <w:p>
      <w:r>
        <w:t>KPIs: unassigned rate, system rejection rate, online driver supply, completed rides.</w:t>
      </w:r>
    </w:p>
    <w:p>
      <w:pPr>
        <w:pStyle w:val="Heading2"/>
      </w:pPr>
      <w:r>
        <w:t>3. Re-position drivers before Morning Peak</w:t>
      </w:r>
    </w:p>
    <w:p>
      <w:r>
        <w:t>Move available drivers toward high-demand pickup zones before the peak begins to reduce the observed 10.3-minute ETA.</w:t>
      </w:r>
    </w:p>
    <w:p>
      <w:r>
        <w:t>KPIs: ETA, assignment time, cancellation rate by zone.</w:t>
      </w:r>
    </w:p>
    <w:p>
      <w:pPr>
        <w:pStyle w:val="Heading2"/>
      </w:pPr>
      <w:r>
        <w:t>4. Create shift-specific strategies</w:t>
      </w:r>
    </w:p>
    <w:p>
      <w:r>
        <w:t>Do not use one rule for every hour. Mid-Day, Evening Peak, Morning Peak and Night Shift have different failure patterns.</w:t>
      </w:r>
    </w:p>
    <w:p>
      <w:r>
        <w:t>KPIs: cancellation rate and failure reason by shift.</w:t>
      </w:r>
    </w:p>
    <w:p>
      <w:pPr>
        <w:pStyle w:val="Heading2"/>
      </w:pPr>
      <w:r>
        <w:t>5. Investigate assigned cancellations</w:t>
      </w:r>
    </w:p>
    <w:p>
      <w:r>
        <w:t>Study ETA changes, driver movement and pickup difficulty because many cancellations occur even with short/medium ETAs.</w:t>
      </w:r>
    </w:p>
    <w:p>
      <w:r>
        <w:t>KPIs: ETA accuracy, ETA change, driver movement, cancellation probability.</w:t>
      </w:r>
    </w:p>
    <w:p>
      <w:pPr>
        <w:pStyle w:val="Heading1"/>
      </w:pPr>
      <w:r>
        <w:t>9. Recommended Experiments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8"/>
              </w:rPr>
              <w:t>Experiment</w:t>
            </w:r>
          </w:p>
        </w:tc>
        <w:tc>
          <w:tcPr>
            <w:tcW w:type="dxa" w:w="2556"/>
            <w:shd w:fill="D9EAF7"/>
          </w:tcPr>
          <w:p>
            <w:r>
              <w:rPr>
                <w:b/>
                <w:sz w:val="18"/>
              </w:rPr>
              <w:t>Control</w:t>
            </w:r>
          </w:p>
        </w:tc>
        <w:tc>
          <w:tcPr>
            <w:tcW w:type="dxa" w:w="2556"/>
            <w:shd w:fill="D9EAF7"/>
          </w:tcPr>
          <w:p>
            <w:r>
              <w:rPr>
                <w:b/>
                <w:sz w:val="18"/>
              </w:rPr>
              <w:t>Test</w:t>
            </w:r>
          </w:p>
        </w:tc>
        <w:tc>
          <w:tcPr>
            <w:tcW w:type="dxa" w:w="2556"/>
            <w:shd w:fill="D9EAF7"/>
          </w:tcPr>
          <w:p>
            <w:r>
              <w:rPr>
                <w:b/>
                <w:sz w:val="18"/>
              </w:rPr>
              <w:t>Primary KPI</w:t>
            </w:r>
          </w:p>
        </w:tc>
      </w:tr>
      <w:tr>
        <w:tc>
          <w:tcPr>
            <w:tcW w:type="dxa" w:w="2556"/>
          </w:tcPr>
          <w:p>
            <w:r>
              <w:rPr>
                <w:sz w:val="18"/>
              </w:rPr>
              <w:t>90-sec status message</w:t>
            </w:r>
          </w:p>
        </w:tc>
        <w:tc>
          <w:tcPr>
            <w:tcW w:type="dxa" w:w="2556"/>
          </w:tcPr>
          <w:p>
            <w:r>
              <w:rPr>
                <w:sz w:val="18"/>
              </w:rPr>
              <w:t>Current experience</w:t>
            </w:r>
          </w:p>
        </w:tc>
        <w:tc>
          <w:tcPr>
            <w:tcW w:type="dxa" w:w="2556"/>
          </w:tcPr>
          <w:p>
            <w:r>
              <w:rPr>
                <w:sz w:val="18"/>
              </w:rPr>
              <w:t>Progress message at 90 sec when unassigned</w:t>
            </w:r>
          </w:p>
        </w:tc>
        <w:tc>
          <w:tcPr>
            <w:tcW w:type="dxa" w:w="2556"/>
          </w:tcPr>
          <w:p>
            <w:r>
              <w:rPr>
                <w:sz w:val="18"/>
              </w:rPr>
              <w:t>Cancellation rate after 90 sec</w:t>
            </w:r>
          </w:p>
        </w:tc>
      </w:tr>
      <w:tr>
        <w:tc>
          <w:tcPr>
            <w:tcW w:type="dxa" w:w="2556"/>
          </w:tcPr>
          <w:p>
            <w:r>
              <w:rPr>
                <w:sz w:val="18"/>
              </w:rPr>
              <w:t>Targeted discount</w:t>
            </w:r>
          </w:p>
        </w:tc>
        <w:tc>
          <w:tcPr>
            <w:tcW w:type="dxa" w:w="2556"/>
          </w:tcPr>
          <w:p>
            <w:r>
              <w:rPr>
                <w:sz w:val="18"/>
              </w:rPr>
              <w:t>No discount</w:t>
            </w:r>
          </w:p>
        </w:tc>
        <w:tc>
          <w:tcPr>
            <w:tcW w:type="dxa" w:w="2556"/>
          </w:tcPr>
          <w:p>
            <w:r>
              <w:rPr>
                <w:sz w:val="18"/>
              </w:rPr>
              <w:t>Small incentive for predicted high-risk users</w:t>
            </w:r>
          </w:p>
        </w:tc>
        <w:tc>
          <w:tcPr>
            <w:tcW w:type="dxa" w:w="2556"/>
          </w:tcPr>
          <w:p>
            <w:r>
              <w:rPr>
                <w:sz w:val="18"/>
              </w:rPr>
              <w:t>Incremental completed rides after discount cost</w:t>
            </w:r>
          </w:p>
        </w:tc>
      </w:tr>
      <w:tr>
        <w:tc>
          <w:tcPr>
            <w:tcW w:type="dxa" w:w="2556"/>
          </w:tcPr>
          <w:p>
            <w:r>
              <w:rPr>
                <w:sz w:val="18"/>
              </w:rPr>
              <w:t>Morning driver repositioning</w:t>
            </w:r>
          </w:p>
        </w:tc>
        <w:tc>
          <w:tcPr>
            <w:tcW w:type="dxa" w:w="2556"/>
          </w:tcPr>
          <w:p>
            <w:r>
              <w:rPr>
                <w:sz w:val="18"/>
              </w:rPr>
              <w:t>Current positioning</w:t>
            </w:r>
          </w:p>
        </w:tc>
        <w:tc>
          <w:tcPr>
            <w:tcW w:type="dxa" w:w="2556"/>
          </w:tcPr>
          <w:p>
            <w:r>
              <w:rPr>
                <w:sz w:val="18"/>
              </w:rPr>
              <w:t>Pre-position drivers in high-demand zones</w:t>
            </w:r>
          </w:p>
        </w:tc>
        <w:tc>
          <w:tcPr>
            <w:tcW w:type="dxa" w:w="2556"/>
          </w:tcPr>
          <w:p>
            <w:r>
              <w:rPr>
                <w:sz w:val="18"/>
              </w:rPr>
              <w:t>Median ETA + assignment rate</w:t>
            </w:r>
          </w:p>
        </w:tc>
      </w:tr>
      <w:tr>
        <w:tc>
          <w:tcPr>
            <w:tcW w:type="dxa" w:w="2556"/>
          </w:tcPr>
          <w:p>
            <w:r>
              <w:rPr>
                <w:sz w:val="18"/>
              </w:rPr>
              <w:t>Night driver incentive</w:t>
            </w:r>
          </w:p>
        </w:tc>
        <w:tc>
          <w:tcPr>
            <w:tcW w:type="dxa" w:w="2556"/>
          </w:tcPr>
          <w:p>
            <w:r>
              <w:rPr>
                <w:sz w:val="18"/>
              </w:rPr>
              <w:t>Current incentives</w:t>
            </w:r>
          </w:p>
        </w:tc>
        <w:tc>
          <w:tcPr>
            <w:tcW w:type="dxa" w:w="2556"/>
          </w:tcPr>
          <w:p>
            <w:r>
              <w:rPr>
                <w:sz w:val="18"/>
              </w:rPr>
              <w:t>Targeted night incentive</w:t>
            </w:r>
          </w:p>
        </w:tc>
        <w:tc>
          <w:tcPr>
            <w:tcW w:type="dxa" w:w="2556"/>
          </w:tcPr>
          <w:p>
            <w:r>
              <w:rPr>
                <w:sz w:val="18"/>
              </w:rPr>
              <w:t>Unassigned + rejection rate</w:t>
            </w:r>
          </w:p>
        </w:tc>
      </w:tr>
      <w:tr>
        <w:tc>
          <w:tcPr>
            <w:tcW w:type="dxa" w:w="2556"/>
          </w:tcPr>
          <w:p>
            <w:r>
              <w:rPr>
                <w:sz w:val="18"/>
              </w:rPr>
              <w:t>Better ETA communication</w:t>
            </w:r>
          </w:p>
        </w:tc>
        <w:tc>
          <w:tcPr>
            <w:tcW w:type="dxa" w:w="2556"/>
          </w:tcPr>
          <w:p>
            <w:r>
              <w:rPr>
                <w:sz w:val="18"/>
              </w:rPr>
              <w:t>Current display</w:t>
            </w:r>
          </w:p>
        </w:tc>
        <w:tc>
          <w:tcPr>
            <w:tcW w:type="dxa" w:w="2556"/>
          </w:tcPr>
          <w:p>
            <w:r>
              <w:rPr>
                <w:sz w:val="18"/>
              </w:rPr>
              <w:t>More transparent ETA/status updates</w:t>
            </w:r>
          </w:p>
        </w:tc>
        <w:tc>
          <w:tcPr>
            <w:tcW w:type="dxa" w:w="2556"/>
          </w:tcPr>
          <w:p>
            <w:r>
              <w:rPr>
                <w:sz w:val="18"/>
              </w:rPr>
              <w:t>Assigned cancellation rate</w:t>
            </w:r>
          </w:p>
        </w:tc>
      </w:tr>
    </w:tbl>
    <w:p/>
    <w:p>
      <w:r>
        <w:t>These experiments should be measured against incremental completed rides and economics—not simply cancellation rate. A discount that reduces cancellation but costs more than the additional ride margin would not be a successful business intervention.</w:t>
      </w:r>
    </w:p>
    <w:p>
      <w:pPr>
        <w:pStyle w:val="Heading1"/>
      </w:pPr>
      <w:r>
        <w:t>10. Technical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8"/>
              </w:rPr>
              <w:t>Component</w:t>
            </w:r>
          </w:p>
        </w:tc>
        <w:tc>
          <w:tcPr>
            <w:tcW w:type="dxa" w:w="5112"/>
            <w:shd w:fill="D9EAF7"/>
          </w:tcPr>
          <w:p>
            <w:r>
              <w:rPr>
                <w:b/>
                <w:sz w:val="18"/>
              </w:rPr>
              <w:t>Implementation</w:t>
            </w:r>
          </w:p>
        </w:tc>
      </w:tr>
      <w:tr>
        <w:tc>
          <w:tcPr>
            <w:tcW w:type="dxa" w:w="5112"/>
          </w:tcPr>
          <w:p>
            <w:r>
              <w:rPr>
                <w:sz w:val="18"/>
              </w:rPr>
              <w:t>Platform</w:t>
            </w:r>
          </w:p>
        </w:tc>
        <w:tc>
          <w:tcPr>
            <w:tcW w:type="dxa" w:w="5112"/>
          </w:tcPr>
          <w:p>
            <w:r>
              <w:rPr>
                <w:sz w:val="18"/>
              </w:rPr>
              <w:t>Microsoft Fabric</w:t>
            </w:r>
          </w:p>
        </w:tc>
      </w:tr>
      <w:tr>
        <w:tc>
          <w:tcPr>
            <w:tcW w:type="dxa" w:w="5112"/>
          </w:tcPr>
          <w:p>
            <w:r>
              <w:rPr>
                <w:sz w:val="18"/>
              </w:rPr>
              <w:t>Processing</w:t>
            </w:r>
          </w:p>
        </w:tc>
        <w:tc>
          <w:tcPr>
            <w:tcW w:type="dxa" w:w="5112"/>
          </w:tcPr>
          <w:p>
            <w:r>
              <w:rPr>
                <w:sz w:val="18"/>
              </w:rPr>
              <w:t>Synapse Data Engineering / PySpark</w:t>
            </w:r>
          </w:p>
        </w:tc>
      </w:tr>
      <w:tr>
        <w:tc>
          <w:tcPr>
            <w:tcW w:type="dxa" w:w="5112"/>
          </w:tcPr>
          <w:p>
            <w:r>
              <w:rPr>
                <w:sz w:val="18"/>
              </w:rPr>
              <w:t>Storage</w:t>
            </w:r>
          </w:p>
        </w:tc>
        <w:tc>
          <w:tcPr>
            <w:tcW w:type="dxa" w:w="5112"/>
          </w:tcPr>
          <w:p>
            <w:r>
              <w:rPr>
                <w:sz w:val="18"/>
              </w:rPr>
              <w:t>Delta Lake</w:t>
            </w:r>
          </w:p>
        </w:tc>
      </w:tr>
      <w:tr>
        <w:tc>
          <w:tcPr>
            <w:tcW w:type="dxa" w:w="5112"/>
          </w:tcPr>
          <w:p>
            <w:r>
              <w:rPr>
                <w:sz w:val="18"/>
              </w:rPr>
              <w:t>Architecture</w:t>
            </w:r>
          </w:p>
        </w:tc>
        <w:tc>
          <w:tcPr>
            <w:tcW w:type="dxa" w:w="5112"/>
          </w:tcPr>
          <w:p>
            <w:r>
              <w:rPr>
                <w:sz w:val="18"/>
              </w:rPr>
              <w:t>Bronze → Silver → Gold</w:t>
            </w:r>
          </w:p>
        </w:tc>
      </w:tr>
      <w:tr>
        <w:tc>
          <w:tcPr>
            <w:tcW w:type="dxa" w:w="5112"/>
          </w:tcPr>
          <w:p>
            <w:r>
              <w:rPr>
                <w:sz w:val="18"/>
              </w:rPr>
              <w:t>Key functions</w:t>
            </w:r>
          </w:p>
        </w:tc>
        <w:tc>
          <w:tcPr>
            <w:tcW w:type="dxa" w:w="5112"/>
          </w:tcPr>
          <w:p>
            <w:r>
              <w:rPr>
                <w:sz w:val="18"/>
              </w:rPr>
              <w:t>groupBy, agg, when, col, round, median, count</w:t>
            </w:r>
          </w:p>
        </w:tc>
      </w:tr>
      <w:tr>
        <w:tc>
          <w:tcPr>
            <w:tcW w:type="dxa" w:w="5112"/>
          </w:tcPr>
          <w:p>
            <w:r>
              <w:rPr>
                <w:sz w:val="18"/>
              </w:rPr>
              <w:t>Analysis dimensions</w:t>
            </w:r>
          </w:p>
        </w:tc>
        <w:tc>
          <w:tcPr>
            <w:tcW w:type="dxa" w:w="5112"/>
          </w:tcPr>
          <w:p>
            <w:r>
              <w:rPr>
                <w:sz w:val="18"/>
              </w:rPr>
              <w:t>Status, driver assignment, shift, cancellation time, ETA bucket</w:t>
            </w:r>
          </w:p>
        </w:tc>
      </w:tr>
    </w:tbl>
    <w:p/>
    <w:p>
      <w:r>
        <w:t>Bronze stores raw data, Silver contains cleaned/standardized data, and Gold contains business-ready analytical outputs. This structure supports repeatable reporting and future Power BI dashboards.</w:t>
      </w:r>
    </w:p>
    <w:p>
      <w:pPr>
        <w:pStyle w:val="Heading1"/>
      </w:pPr>
      <w:r>
        <w:t>11. Analytical Limitations</w:t>
      </w:r>
    </w:p>
    <w:p>
      <w:pPr>
        <w:pStyle w:val="ListBullet"/>
      </w:pPr>
      <w:r>
        <w:t>The analysis is descriptive; it identifies patterns but does not prove causality.</w:t>
      </w:r>
    </w:p>
    <w:p>
      <w:pPr>
        <w:pStyle w:val="ListBullet"/>
      </w:pPr>
      <w:r>
        <w:t>2.01 minutes is an observed average, not a universal customer tolerance limit.</w:t>
      </w:r>
    </w:p>
    <w:p>
      <w:pPr>
        <w:pStyle w:val="ListBullet"/>
      </w:pPr>
      <w:r>
        <w:t>A discount may reduce cancellations but can reduce profitability; incremental economics must be measured.</w:t>
      </w:r>
    </w:p>
    <w:p>
      <w:pPr>
        <w:pStyle w:val="ListBullet"/>
      </w:pPr>
      <w:r>
        <w:t>High cancellation rate does not automatically mean ETA caused cancellation.</w:t>
      </w:r>
    </w:p>
    <w:p>
      <w:pPr>
        <w:pStyle w:val="ListBullet"/>
      </w:pPr>
      <w:r>
        <w:t>ETA bucket definitions should be standardized before production reporting.</w:t>
      </w:r>
    </w:p>
    <w:p>
      <w:pPr>
        <w:pStyle w:val="Heading1"/>
      </w:pPr>
      <w:r>
        <w:t>12. Final Stakeholder Conclusion</w:t>
      </w:r>
    </w:p>
    <w:p>
      <w:r>
        <w:t>The analysis shows that Gett is losing a large proportion of potential rides before a driver is assigned. The strongest immediate opportunity is therefore to improve matching speed and driver availability while actively managing the customer experience during the first 90–120 seconds.</w:t>
      </w:r>
    </w:p>
    <w:p>
      <w:r>
        <w:t>The recommended strategy is: assign faster → communicate clearly → intervene around 90 seconds when needed → improve driver supply during high-risk periods → test every intervention with measurable experiments.</w:t>
      </w:r>
    </w:p>
    <w:p>
      <w:r>
        <w:rPr>
          <w:b/>
        </w:rPr>
        <w:t>One-line recommendation</w:t>
        <w:br/>
      </w:r>
      <w:r>
        <w:t>“Focus on the first 90 seconds: get a driver assigned faster, keep the customer informed, and use targeted retention actions only when data shows a high risk of cancellation.”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Gett Ride Failure Analysis &amp; Optimization | Sahil Murti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