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Parul University Online MBA Admission 2026: Fees, Eligibility, Specialisations &amp; Career Scope</w:t>
      </w:r>
    </w:p>
    <w:p>
      <w:r>
        <w:rPr>
          <w:b/>
        </w:rPr>
        <w:t xml:space="preserve">Meta Title: </w:t>
      </w:r>
      <w:r>
        <w:t>Parul University Online MBA Admission 2026: Fees, Eligibility &amp; Specialisations</w:t>
      </w:r>
    </w:p>
    <w:p>
      <w:r>
        <w:rPr>
          <w:b/>
        </w:rPr>
        <w:t xml:space="preserve">Meta Description: </w:t>
      </w:r>
      <w:r>
        <w:t>Explore Parul University Online MBA 2026 fees, eligibility, admission process, specialisations, subjects, placements, career opportunities and who should apply.</w:t>
      </w:r>
    </w:p>
    <w:p>
      <w:pPr>
        <w:pStyle w:val="Heading1"/>
      </w:pPr>
      <w:r>
        <w:t>Parul University Online MBA: Highlights</w:t>
      </w:r>
    </w:p>
    <w:p>
      <w:r>
        <w:t>Parul University Online MBA is a two-year postgraduate management programme delivered through an online Learning Management System (LMS). The learning environment supports interaction between students and faculty through live classes, chat rooms, discussion boards and other digital learning facilities. The programme is designed for graduates and working professionals who want to build management knowledge while maintaining flexibility in their schedules.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Category</w:t>
            </w:r>
          </w:p>
        </w:tc>
        <w:tc>
          <w:tcPr>
            <w:tcW w:type="dxa" w:w="4968"/>
            <w:vAlign w:val="center"/>
            <w:shd w:fill="D9EAF7"/>
          </w:tcPr>
          <w:p>
            <w:r/>
            <w:r>
              <w:rPr>
                <w:rFonts w:ascii="Arial" w:hAnsi="Arial"/>
                <w:b/>
                <w:sz w:val="19"/>
              </w:rPr>
              <w:t>Details</w:t>
            </w:r>
          </w:p>
        </w:tc>
      </w:tr>
      <w:tr>
        <w:tc>
          <w:tcPr>
            <w:tcW w:type="dxa" w:w="4968"/>
            <w:vAlign w:val="center"/>
          </w:tcPr>
          <w:p>
            <w:r/>
            <w:r>
              <w:rPr>
                <w:rFonts w:ascii="Arial" w:hAnsi="Arial"/>
                <w:b w:val="0"/>
                <w:sz w:val="19"/>
              </w:rPr>
              <w:t>Ownership</w:t>
            </w:r>
          </w:p>
        </w:tc>
        <w:tc>
          <w:tcPr>
            <w:tcW w:type="dxa" w:w="4968"/>
            <w:vAlign w:val="center"/>
          </w:tcPr>
          <w:p>
            <w:r/>
            <w:r>
              <w:rPr>
                <w:rFonts w:ascii="Arial" w:hAnsi="Arial"/>
                <w:b w:val="0"/>
                <w:sz w:val="19"/>
              </w:rPr>
              <w:t>Private</w:t>
            </w:r>
          </w:p>
        </w:tc>
      </w:tr>
      <w:tr>
        <w:tc>
          <w:tcPr>
            <w:tcW w:type="dxa" w:w="4968"/>
            <w:vAlign w:val="center"/>
          </w:tcPr>
          <w:p>
            <w:r/>
            <w:r>
              <w:rPr>
                <w:rFonts w:ascii="Arial" w:hAnsi="Arial"/>
                <w:b w:val="0"/>
                <w:sz w:val="19"/>
              </w:rPr>
              <w:t>Course Name</w:t>
            </w:r>
          </w:p>
        </w:tc>
        <w:tc>
          <w:tcPr>
            <w:tcW w:type="dxa" w:w="4968"/>
            <w:vAlign w:val="center"/>
          </w:tcPr>
          <w:p>
            <w:r/>
            <w:r>
              <w:rPr>
                <w:rFonts w:ascii="Arial" w:hAnsi="Arial"/>
                <w:b w:val="0"/>
                <w:sz w:val="19"/>
              </w:rPr>
              <w:t>Online MBA</w:t>
            </w:r>
          </w:p>
        </w:tc>
      </w:tr>
      <w:tr>
        <w:tc>
          <w:tcPr>
            <w:tcW w:type="dxa" w:w="4968"/>
            <w:vAlign w:val="center"/>
          </w:tcPr>
          <w:p>
            <w:r/>
            <w:r>
              <w:rPr>
                <w:rFonts w:ascii="Arial" w:hAnsi="Arial"/>
                <w:b w:val="0"/>
                <w:sz w:val="19"/>
              </w:rPr>
              <w:t>Course Level</w:t>
            </w:r>
          </w:p>
        </w:tc>
        <w:tc>
          <w:tcPr>
            <w:tcW w:type="dxa" w:w="4968"/>
            <w:vAlign w:val="center"/>
          </w:tcPr>
          <w:p>
            <w:r/>
            <w:r>
              <w:rPr>
                <w:rFonts w:ascii="Arial" w:hAnsi="Arial"/>
                <w:b w:val="0"/>
                <w:sz w:val="19"/>
              </w:rPr>
              <w:t>Postgraduate (PG)</w:t>
            </w:r>
          </w:p>
        </w:tc>
      </w:tr>
      <w:tr>
        <w:tc>
          <w:tcPr>
            <w:tcW w:type="dxa" w:w="4968"/>
            <w:vAlign w:val="center"/>
          </w:tcPr>
          <w:p>
            <w:r/>
            <w:r>
              <w:rPr>
                <w:rFonts w:ascii="Arial" w:hAnsi="Arial"/>
                <w:b w:val="0"/>
                <w:sz w:val="19"/>
              </w:rPr>
              <w:t>Eligibility</w:t>
            </w:r>
          </w:p>
        </w:tc>
        <w:tc>
          <w:tcPr>
            <w:tcW w:type="dxa" w:w="4968"/>
            <w:vAlign w:val="center"/>
          </w:tcPr>
          <w:p>
            <w:r/>
            <w:r>
              <w:rPr>
                <w:rFonts w:ascii="Arial" w:hAnsi="Arial"/>
                <w:b w:val="0"/>
                <w:sz w:val="19"/>
              </w:rPr>
              <w:t>Bachelor’s degree from a recognised university</w:t>
            </w:r>
          </w:p>
        </w:tc>
      </w:tr>
      <w:tr>
        <w:tc>
          <w:tcPr>
            <w:tcW w:type="dxa" w:w="4968"/>
            <w:vAlign w:val="center"/>
          </w:tcPr>
          <w:p>
            <w:r/>
            <w:r>
              <w:rPr>
                <w:rFonts w:ascii="Arial" w:hAnsi="Arial"/>
                <w:b w:val="0"/>
                <w:sz w:val="19"/>
              </w:rPr>
              <w:t>Course Duration</w:t>
            </w:r>
          </w:p>
        </w:tc>
        <w:tc>
          <w:tcPr>
            <w:tcW w:type="dxa" w:w="4968"/>
            <w:vAlign w:val="center"/>
          </w:tcPr>
          <w:p>
            <w:r/>
            <w:r>
              <w:rPr>
                <w:rFonts w:ascii="Arial" w:hAnsi="Arial"/>
                <w:b w:val="0"/>
                <w:sz w:val="19"/>
              </w:rPr>
              <w:t>2 years</w:t>
            </w:r>
          </w:p>
        </w:tc>
      </w:tr>
      <w:tr>
        <w:tc>
          <w:tcPr>
            <w:tcW w:type="dxa" w:w="4968"/>
            <w:vAlign w:val="center"/>
          </w:tcPr>
          <w:p>
            <w:r/>
            <w:r>
              <w:rPr>
                <w:rFonts w:ascii="Arial" w:hAnsi="Arial"/>
                <w:b w:val="0"/>
                <w:sz w:val="19"/>
              </w:rPr>
              <w:t>Specialisations</w:t>
            </w:r>
          </w:p>
        </w:tc>
        <w:tc>
          <w:tcPr>
            <w:tcW w:type="dxa" w:w="4968"/>
            <w:vAlign w:val="center"/>
          </w:tcPr>
          <w:p>
            <w:r/>
            <w:r>
              <w:rPr>
                <w:rFonts w:ascii="Arial" w:hAnsi="Arial"/>
                <w:b w:val="0"/>
                <w:sz w:val="19"/>
              </w:rPr>
              <w:t>Finance, Marketing, Human Resources, Operations, IT Management, Data Analytics, International Business and more</w:t>
            </w:r>
          </w:p>
        </w:tc>
      </w:tr>
      <w:tr>
        <w:tc>
          <w:tcPr>
            <w:tcW w:type="dxa" w:w="4968"/>
            <w:vAlign w:val="center"/>
          </w:tcPr>
          <w:p>
            <w:r/>
            <w:r>
              <w:rPr>
                <w:rFonts w:ascii="Arial" w:hAnsi="Arial"/>
                <w:b w:val="0"/>
                <w:sz w:val="19"/>
              </w:rPr>
              <w:t>Exam Mode</w:t>
            </w:r>
          </w:p>
        </w:tc>
        <w:tc>
          <w:tcPr>
            <w:tcW w:type="dxa" w:w="4968"/>
            <w:vAlign w:val="center"/>
          </w:tcPr>
          <w:p>
            <w:r/>
            <w:r>
              <w:rPr>
                <w:rFonts w:ascii="Arial" w:hAnsi="Arial"/>
                <w:b w:val="0"/>
                <w:sz w:val="19"/>
              </w:rPr>
              <w:t>Online</w:t>
            </w:r>
          </w:p>
        </w:tc>
      </w:tr>
      <w:tr>
        <w:tc>
          <w:tcPr>
            <w:tcW w:type="dxa" w:w="4968"/>
            <w:vAlign w:val="center"/>
          </w:tcPr>
          <w:p>
            <w:r/>
            <w:r>
              <w:rPr>
                <w:rFonts w:ascii="Arial" w:hAnsi="Arial"/>
                <w:b w:val="0"/>
                <w:sz w:val="19"/>
              </w:rPr>
              <w:t>Lump Sum Fee</w:t>
            </w:r>
          </w:p>
        </w:tc>
        <w:tc>
          <w:tcPr>
            <w:tcW w:type="dxa" w:w="4968"/>
            <w:vAlign w:val="center"/>
          </w:tcPr>
          <w:p>
            <w:r/>
            <w:r>
              <w:rPr>
                <w:rFonts w:ascii="Arial" w:hAnsi="Arial"/>
                <w:b w:val="0"/>
                <w:sz w:val="19"/>
              </w:rPr>
              <w:t>INR 99,000</w:t>
            </w:r>
          </w:p>
        </w:tc>
      </w:tr>
      <w:tr>
        <w:tc>
          <w:tcPr>
            <w:tcW w:type="dxa" w:w="4968"/>
            <w:vAlign w:val="center"/>
          </w:tcPr>
          <w:p>
            <w:r/>
            <w:r>
              <w:rPr>
                <w:rFonts w:ascii="Arial" w:hAnsi="Arial"/>
                <w:b w:val="0"/>
                <w:sz w:val="19"/>
              </w:rPr>
              <w:t>Yearly Fee</w:t>
            </w:r>
          </w:p>
        </w:tc>
        <w:tc>
          <w:tcPr>
            <w:tcW w:type="dxa" w:w="4968"/>
            <w:vAlign w:val="center"/>
          </w:tcPr>
          <w:p>
            <w:r/>
            <w:r>
              <w:rPr>
                <w:rFonts w:ascii="Arial" w:hAnsi="Arial"/>
                <w:b w:val="0"/>
                <w:sz w:val="19"/>
              </w:rPr>
              <w:t>INR 1,20,000</w:t>
            </w:r>
          </w:p>
        </w:tc>
      </w:tr>
      <w:tr>
        <w:tc>
          <w:tcPr>
            <w:tcW w:type="dxa" w:w="4968"/>
            <w:vAlign w:val="center"/>
          </w:tcPr>
          <w:p>
            <w:r/>
            <w:r>
              <w:rPr>
                <w:rFonts w:ascii="Arial" w:hAnsi="Arial"/>
                <w:b w:val="0"/>
                <w:sz w:val="19"/>
              </w:rPr>
              <w:t>Semester-Wise Fee</w:t>
            </w:r>
          </w:p>
        </w:tc>
        <w:tc>
          <w:tcPr>
            <w:tcW w:type="dxa" w:w="4968"/>
            <w:vAlign w:val="center"/>
          </w:tcPr>
          <w:p>
            <w:r/>
            <w:r>
              <w:rPr>
                <w:rFonts w:ascii="Arial" w:hAnsi="Arial"/>
                <w:b w:val="0"/>
                <w:sz w:val="19"/>
              </w:rPr>
              <w:t>INR 1,50,000 (as provided in the source)</w:t>
            </w:r>
          </w:p>
        </w:tc>
      </w:tr>
      <w:tr>
        <w:tc>
          <w:tcPr>
            <w:tcW w:type="dxa" w:w="4968"/>
            <w:vAlign w:val="center"/>
          </w:tcPr>
          <w:p>
            <w:r/>
            <w:r>
              <w:rPr>
                <w:rFonts w:ascii="Arial" w:hAnsi="Arial"/>
                <w:b w:val="0"/>
                <w:sz w:val="19"/>
              </w:rPr>
              <w:t>Key Recruiters</w:t>
            </w:r>
          </w:p>
        </w:tc>
        <w:tc>
          <w:tcPr>
            <w:tcW w:type="dxa" w:w="4968"/>
            <w:vAlign w:val="center"/>
          </w:tcPr>
          <w:p>
            <w:r/>
            <w:r>
              <w:rPr>
                <w:rFonts w:ascii="Arial" w:hAnsi="Arial"/>
                <w:b w:val="0"/>
                <w:sz w:val="19"/>
              </w:rPr>
              <w:t>Reliance Digital, Amazon, L&amp;T, Vodafone, Tata Consultancy Services (TCS)</w:t>
            </w:r>
          </w:p>
        </w:tc>
      </w:tr>
    </w:tbl>
    <w:p/>
    <w:p>
      <w:pPr>
        <w:pStyle w:val="Heading1"/>
      </w:pPr>
      <w:r>
        <w:t>Parul University Online MBA Accreditation &amp; Ranking</w:t>
      </w:r>
    </w:p>
    <w:p>
      <w:r>
        <w:t>When choosing an online MBA, recognition and accreditation are important factors alongside fees, curriculum and career support. The source content highlights the following credentials for Parul University:</w:t>
      </w:r>
    </w:p>
    <w:p>
      <w:pPr>
        <w:pStyle w:val="ListBullet"/>
      </w:pPr>
      <w:r>
        <w:t>UGC-DEB</w:t>
      </w:r>
    </w:p>
    <w:p>
      <w:pPr>
        <w:pStyle w:val="ListBullet"/>
      </w:pPr>
      <w:r>
        <w:t>NAAC Grade A++</w:t>
      </w:r>
    </w:p>
    <w:p>
      <w:pPr>
        <w:pStyle w:val="ListBullet"/>
      </w:pPr>
      <w:r>
        <w:t>NIRF Ranked</w:t>
      </w:r>
    </w:p>
    <w:p>
      <w:pPr>
        <w:pStyle w:val="Heading1"/>
      </w:pPr>
      <w:r>
        <w:t>Parul University Online MBA Eligibility Criteria</w:t>
      </w:r>
    </w:p>
    <w:p>
      <w:r>
        <w:t>Candidates planning to apply for the Parul University Online MBA should meet the programme eligibility requirements. The source material specifies the following criteria:</w:t>
      </w:r>
    </w:p>
    <w:p>
      <w:pPr>
        <w:pStyle w:val="ListBullet"/>
      </w:pPr>
      <w:r>
        <w:t>Educational Qualification: A bachelor’s degree from a recognised university.</w:t>
      </w:r>
    </w:p>
    <w:p>
      <w:pPr>
        <w:pStyle w:val="ListBullet"/>
      </w:pPr>
      <w:r>
        <w:t>Minimum Marks: 50% marks in graduation for General Category candidates and 45% for Reserved Category candidates.</w:t>
      </w:r>
    </w:p>
    <w:p>
      <w:pPr>
        <w:pStyle w:val="ListBullet"/>
      </w:pPr>
      <w:r>
        <w:t>Age Limit: No upper age restriction is specified, making the programme accessible to fresh graduates and working professionals.</w:t>
      </w:r>
    </w:p>
    <w:p>
      <w:pPr>
        <w:pStyle w:val="Heading1"/>
      </w:pPr>
      <w:r>
        <w:t>Parul University Online MBA Admission Process 2026</w:t>
      </w:r>
    </w:p>
    <w:p>
      <w:r>
        <w:t>The admission process is presented as a simple online procedure. Applicants can complete the application without visiting the campus.</w:t>
      </w:r>
    </w:p>
    <w:p>
      <w:pPr>
        <w:pStyle w:val="ListBullet"/>
      </w:pPr>
      <w:r>
        <w:t>Visit the official Parul University online admission website and open the MBA application form.</w:t>
      </w:r>
    </w:p>
    <w:p>
      <w:pPr>
        <w:pStyle w:val="ListBullet"/>
      </w:pPr>
      <w:r>
        <w:t>Enter personal, academic and communication details accurately.</w:t>
      </w:r>
    </w:p>
    <w:p>
      <w:pPr>
        <w:pStyle w:val="ListBullet"/>
      </w:pPr>
      <w:r>
        <w:t>Upload the required documents according to the prescribed specifications.</w:t>
      </w:r>
    </w:p>
    <w:p>
      <w:pPr>
        <w:pStyle w:val="ListBullet"/>
      </w:pPr>
      <w:r>
        <w:t>Pay the applicable Parul University Online MBA registration/admission fee.</w:t>
      </w:r>
    </w:p>
    <w:p>
      <w:pPr>
        <w:pStyle w:val="ListBullet"/>
      </w:pPr>
      <w:r>
        <w:t>Submit the application and complete the required verification process.</w:t>
      </w:r>
    </w:p>
    <w:p>
      <w:pPr>
        <w:pStyle w:val="Heading2"/>
      </w:pPr>
      <w:r>
        <w:t>Documents Required for Parul University Online MBA Admission</w:t>
      </w:r>
    </w:p>
    <w:p>
      <w:pPr>
        <w:pStyle w:val="ListBullet"/>
      </w:pPr>
      <w:r>
        <w:t>Bachelor’s degree / graduation certificate</w:t>
      </w:r>
    </w:p>
    <w:p>
      <w:pPr>
        <w:pStyle w:val="ListBullet"/>
      </w:pPr>
      <w:r>
        <w:t>Graduation marksheets</w:t>
      </w:r>
    </w:p>
    <w:p>
      <w:pPr>
        <w:pStyle w:val="ListBullet"/>
      </w:pPr>
      <w:r>
        <w:t>Class 10 and Class 12 marksheets</w:t>
      </w:r>
    </w:p>
    <w:p>
      <w:pPr>
        <w:pStyle w:val="ListBullet"/>
      </w:pPr>
      <w:r>
        <w:t>Valid government-issued identity proof</w:t>
      </w:r>
    </w:p>
    <w:p>
      <w:pPr>
        <w:pStyle w:val="ListBullet"/>
      </w:pPr>
      <w:r>
        <w:t>Recent passport-size photograph</w:t>
      </w:r>
    </w:p>
    <w:p>
      <w:pPr>
        <w:pStyle w:val="ListBullet"/>
      </w:pPr>
      <w:r>
        <w:t>Signature and other documents requested during application</w:t>
      </w:r>
    </w:p>
    <w:p>
      <w:pPr>
        <w:pStyle w:val="Heading1"/>
      </w:pPr>
      <w:r>
        <w:t>Parul University Online MBA Sample Degree</w:t>
      </w:r>
    </w:p>
    <w:p>
      <w:r>
        <w:t>After successful completion of the two-year programme, eligible students receive the university’s degree certificate. The source content refers to a UGC-recognised online MBA sample certificate as the degree format associated with the programme.</w:t>
      </w:r>
    </w:p>
    <w:p>
      <w:pPr>
        <w:pStyle w:val="Heading1"/>
      </w:pPr>
      <w:r>
        <w:t>Parul University Online MBA Specialisations</w:t>
      </w:r>
    </w:p>
    <w:p>
      <w:r>
        <w:t>Parul University offers a broad selection of MBA specialisations, allowing learners to align their postgraduate management education with their preferred career domain.</w:t>
      </w:r>
    </w:p>
    <w:p>
      <w:pPr>
        <w:pStyle w:val="ListBullet"/>
      </w:pPr>
      <w:r>
        <w:t>Agribusiness Management</w:t>
      </w:r>
    </w:p>
    <w:p>
      <w:pPr>
        <w:pStyle w:val="ListBullet"/>
      </w:pPr>
      <w:r>
        <w:t>Banking &amp; Financial Services</w:t>
      </w:r>
    </w:p>
    <w:p>
      <w:pPr>
        <w:pStyle w:val="ListBullet"/>
      </w:pPr>
      <w:r>
        <w:t>Business Analytics</w:t>
      </w:r>
    </w:p>
    <w:p>
      <w:pPr>
        <w:pStyle w:val="ListBullet"/>
      </w:pPr>
      <w:r>
        <w:t>Digital Marketing &amp; Sales</w:t>
      </w:r>
    </w:p>
    <w:p>
      <w:pPr>
        <w:pStyle w:val="ListBullet"/>
      </w:pPr>
      <w:r>
        <w:t>Entrepreneurship &amp; Innovation Management</w:t>
      </w:r>
    </w:p>
    <w:p>
      <w:pPr>
        <w:pStyle w:val="ListBullet"/>
      </w:pPr>
      <w:r>
        <w:t>Family Managed Business</w:t>
      </w:r>
    </w:p>
    <w:p>
      <w:pPr>
        <w:pStyle w:val="ListBullet"/>
      </w:pPr>
      <w:r>
        <w:t>Finance</w:t>
      </w:r>
    </w:p>
    <w:p>
      <w:pPr>
        <w:pStyle w:val="ListBullet"/>
      </w:pPr>
      <w:r>
        <w:t>Forensic Accounting &amp; Corporate Fraud Investigation</w:t>
      </w:r>
    </w:p>
    <w:p>
      <w:pPr>
        <w:pStyle w:val="ListBullet"/>
      </w:pPr>
      <w:r>
        <w:t>Healthcare Management</w:t>
      </w:r>
    </w:p>
    <w:p>
      <w:pPr>
        <w:pStyle w:val="ListBullet"/>
      </w:pPr>
      <w:r>
        <w:t>Human Resource Management</w:t>
      </w:r>
    </w:p>
    <w:p>
      <w:pPr>
        <w:pStyle w:val="ListBullet"/>
      </w:pPr>
      <w:r>
        <w:t>Information Technology</w:t>
      </w:r>
    </w:p>
    <w:p>
      <w:pPr>
        <w:pStyle w:val="ListBullet"/>
      </w:pPr>
      <w:r>
        <w:t>International Trade &amp; Business</w:t>
      </w:r>
    </w:p>
    <w:p>
      <w:pPr>
        <w:pStyle w:val="ListBullet"/>
      </w:pPr>
      <w:r>
        <w:t>Logistics &amp; Supply Chain Management</w:t>
      </w:r>
    </w:p>
    <w:p>
      <w:pPr>
        <w:pStyle w:val="ListBullet"/>
      </w:pPr>
      <w:r>
        <w:t>Marketing</w:t>
      </w:r>
    </w:p>
    <w:p>
      <w:pPr>
        <w:pStyle w:val="ListBullet"/>
      </w:pPr>
      <w:r>
        <w:t>Operations Management</w:t>
      </w:r>
    </w:p>
    <w:p>
      <w:pPr>
        <w:pStyle w:val="ListBullet"/>
      </w:pPr>
      <w:r>
        <w:t>Pharmaceutical Management</w:t>
      </w:r>
    </w:p>
    <w:p>
      <w:pPr>
        <w:pStyle w:val="ListBullet"/>
      </w:pPr>
      <w:r>
        <w:t>Project Management</w:t>
      </w:r>
    </w:p>
    <w:p>
      <w:pPr>
        <w:pStyle w:val="ListBullet"/>
      </w:pPr>
      <w:r>
        <w:t>Public Policy</w:t>
      </w:r>
    </w:p>
    <w:p>
      <w:pPr>
        <w:pStyle w:val="ListBullet"/>
      </w:pPr>
      <w:r>
        <w:t>Retail Management</w:t>
      </w:r>
    </w:p>
    <w:p>
      <w:pPr>
        <w:pStyle w:val="ListBullet"/>
      </w:pPr>
      <w:r>
        <w:t>Tourism &amp; Event Management</w:t>
      </w:r>
    </w:p>
    <w:p>
      <w:pPr>
        <w:pStyle w:val="Heading1"/>
      </w:pPr>
      <w:r>
        <w:t>Parul University Online MBA Subjects</w:t>
      </w:r>
    </w:p>
    <w:p>
      <w:r>
        <w:t>The Online MBA is structured across four semesters. The following semester-wise subjects are based on the supplied course content.</w:t>
      </w:r>
    </w:p>
    <w:p>
      <w:pPr>
        <w:pStyle w:val="Heading2"/>
      </w:pPr>
      <w:r>
        <w:t>Parul University Online MBA Subjects for First Year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Semester I</w:t>
            </w:r>
          </w:p>
        </w:tc>
        <w:tc>
          <w:tcPr>
            <w:tcW w:type="dxa" w:w="4968"/>
            <w:vAlign w:val="center"/>
            <w:shd w:fill="D9EAF7"/>
          </w:tcPr>
          <w:p>
            <w:r/>
            <w:r>
              <w:rPr>
                <w:rFonts w:ascii="Arial" w:hAnsi="Arial"/>
                <w:b/>
                <w:sz w:val="19"/>
              </w:rPr>
              <w:t>Semester II</w:t>
            </w:r>
          </w:p>
        </w:tc>
      </w:tr>
      <w:tr>
        <w:tc>
          <w:tcPr>
            <w:tcW w:type="dxa" w:w="4968"/>
            <w:vAlign w:val="center"/>
          </w:tcPr>
          <w:p>
            <w:r/>
            <w:r>
              <w:rPr>
                <w:rFonts w:ascii="Arial" w:hAnsi="Arial"/>
                <w:b w:val="0"/>
                <w:sz w:val="19"/>
              </w:rPr>
              <w:t>Management Information System</w:t>
            </w:r>
          </w:p>
        </w:tc>
        <w:tc>
          <w:tcPr>
            <w:tcW w:type="dxa" w:w="4968"/>
            <w:vAlign w:val="center"/>
          </w:tcPr>
          <w:p>
            <w:r/>
            <w:r>
              <w:rPr>
                <w:rFonts w:ascii="Arial" w:hAnsi="Arial"/>
                <w:b w:val="0"/>
                <w:sz w:val="19"/>
              </w:rPr>
              <w:t>Cost and Management Accounting</w:t>
            </w:r>
          </w:p>
        </w:tc>
      </w:tr>
      <w:tr>
        <w:tc>
          <w:tcPr>
            <w:tcW w:type="dxa" w:w="4968"/>
            <w:vAlign w:val="center"/>
          </w:tcPr>
          <w:p>
            <w:r/>
            <w:r>
              <w:rPr>
                <w:rFonts w:ascii="Arial" w:hAnsi="Arial"/>
                <w:b w:val="0"/>
                <w:sz w:val="19"/>
              </w:rPr>
              <w:t>Principles of Management</w:t>
            </w:r>
          </w:p>
        </w:tc>
        <w:tc>
          <w:tcPr>
            <w:tcW w:type="dxa" w:w="4968"/>
            <w:vAlign w:val="center"/>
          </w:tcPr>
          <w:p>
            <w:r/>
            <w:r>
              <w:rPr>
                <w:rFonts w:ascii="Arial" w:hAnsi="Arial"/>
                <w:b w:val="0"/>
                <w:sz w:val="19"/>
              </w:rPr>
              <w:t>Financial Management</w:t>
            </w:r>
          </w:p>
        </w:tc>
      </w:tr>
      <w:tr>
        <w:tc>
          <w:tcPr>
            <w:tcW w:type="dxa" w:w="4968"/>
            <w:vAlign w:val="center"/>
          </w:tcPr>
          <w:p>
            <w:r/>
            <w:r>
              <w:rPr>
                <w:rFonts w:ascii="Arial" w:hAnsi="Arial"/>
                <w:b w:val="0"/>
                <w:sz w:val="19"/>
              </w:rPr>
              <w:t>Business Statistics</w:t>
            </w:r>
          </w:p>
        </w:tc>
        <w:tc>
          <w:tcPr>
            <w:tcW w:type="dxa" w:w="4968"/>
            <w:vAlign w:val="center"/>
          </w:tcPr>
          <w:p>
            <w:r/>
            <w:r>
              <w:rPr>
                <w:rFonts w:ascii="Arial" w:hAnsi="Arial"/>
                <w:b w:val="0"/>
                <w:sz w:val="19"/>
              </w:rPr>
              <w:t>Human Resource Management</w:t>
            </w:r>
          </w:p>
        </w:tc>
      </w:tr>
      <w:tr>
        <w:tc>
          <w:tcPr>
            <w:tcW w:type="dxa" w:w="4968"/>
            <w:vAlign w:val="center"/>
          </w:tcPr>
          <w:p>
            <w:r/>
            <w:r>
              <w:rPr>
                <w:rFonts w:ascii="Arial" w:hAnsi="Arial"/>
                <w:b w:val="0"/>
                <w:sz w:val="19"/>
              </w:rPr>
              <w:t>Accounting for Managers</w:t>
            </w:r>
          </w:p>
        </w:tc>
        <w:tc>
          <w:tcPr>
            <w:tcW w:type="dxa" w:w="4968"/>
            <w:vAlign w:val="center"/>
          </w:tcPr>
          <w:p>
            <w:r/>
            <w:r>
              <w:rPr>
                <w:rFonts w:ascii="Arial" w:hAnsi="Arial"/>
                <w:b w:val="0"/>
                <w:sz w:val="19"/>
              </w:rPr>
              <w:t>Research Methodology</w:t>
            </w:r>
          </w:p>
        </w:tc>
      </w:tr>
      <w:tr>
        <w:tc>
          <w:tcPr>
            <w:tcW w:type="dxa" w:w="4968"/>
            <w:vAlign w:val="center"/>
          </w:tcPr>
          <w:p>
            <w:r/>
            <w:r>
              <w:rPr>
                <w:rFonts w:ascii="Arial" w:hAnsi="Arial"/>
                <w:b w:val="0"/>
                <w:sz w:val="19"/>
              </w:rPr>
              <w:t>Business Economics &amp; Environment</w:t>
            </w:r>
          </w:p>
        </w:tc>
        <w:tc>
          <w:tcPr>
            <w:tcW w:type="dxa" w:w="4968"/>
            <w:vAlign w:val="center"/>
          </w:tcPr>
          <w:p>
            <w:r/>
            <w:r>
              <w:rPr>
                <w:rFonts w:ascii="Arial" w:hAnsi="Arial"/>
                <w:b w:val="0"/>
                <w:sz w:val="19"/>
              </w:rPr>
              <w:t>Marketing Management</w:t>
            </w:r>
          </w:p>
        </w:tc>
      </w:tr>
      <w:tr>
        <w:tc>
          <w:tcPr>
            <w:tcW w:type="dxa" w:w="4968"/>
            <w:vAlign w:val="center"/>
          </w:tcPr>
          <w:p>
            <w:r/>
            <w:r>
              <w:rPr>
                <w:rFonts w:ascii="Arial" w:hAnsi="Arial"/>
                <w:b w:val="0"/>
                <w:sz w:val="19"/>
              </w:rPr>
              <w:t>Organisational Behaviour</w:t>
            </w:r>
          </w:p>
        </w:tc>
        <w:tc>
          <w:tcPr>
            <w:tcW w:type="dxa" w:w="4968"/>
            <w:vAlign w:val="center"/>
          </w:tcPr>
          <w:p>
            <w:r/>
            <w:r>
              <w:rPr>
                <w:rFonts w:ascii="Arial" w:hAnsi="Arial"/>
                <w:b w:val="0"/>
                <w:sz w:val="19"/>
              </w:rPr>
              <w:t>Operation Research</w:t>
            </w:r>
          </w:p>
        </w:tc>
      </w:tr>
      <w:tr>
        <w:tc>
          <w:tcPr>
            <w:tcW w:type="dxa" w:w="4968"/>
            <w:vAlign w:val="center"/>
          </w:tcPr>
          <w:p>
            <w:r/>
            <w:r>
              <w:rPr>
                <w:rFonts w:ascii="Arial" w:hAnsi="Arial"/>
                <w:b w:val="0"/>
                <w:sz w:val="19"/>
              </w:rPr>
              <w:t>Employability Skills – 1</w:t>
            </w:r>
          </w:p>
        </w:tc>
        <w:tc>
          <w:tcPr>
            <w:tcW w:type="dxa" w:w="4968"/>
            <w:vAlign w:val="center"/>
          </w:tcPr>
          <w:p>
            <w:r/>
            <w:r>
              <w:rPr>
                <w:rFonts w:ascii="Arial" w:hAnsi="Arial"/>
                <w:b w:val="0"/>
                <w:sz w:val="19"/>
              </w:rPr>
              <w:t>Employability Skills – 2</w:t>
            </w:r>
          </w:p>
        </w:tc>
      </w:tr>
      <w:tr>
        <w:tc>
          <w:tcPr>
            <w:tcW w:type="dxa" w:w="4968"/>
            <w:vAlign w:val="center"/>
          </w:tcPr>
          <w:p>
            <w:r/>
            <w:r>
              <w:rPr>
                <w:rFonts w:ascii="Arial" w:hAnsi="Arial"/>
                <w:b w:val="0"/>
                <w:sz w:val="19"/>
              </w:rPr>
              <w:t>Elective – 1 (Select any One)</w:t>
            </w:r>
          </w:p>
        </w:tc>
        <w:tc>
          <w:tcPr>
            <w:tcW w:type="dxa" w:w="4968"/>
            <w:vAlign w:val="center"/>
          </w:tcPr>
          <w:p>
            <w:r/>
            <w:r>
              <w:rPr>
                <w:rFonts w:ascii="Arial" w:hAnsi="Arial"/>
                <w:b w:val="0"/>
                <w:sz w:val="19"/>
              </w:rPr>
              <w:t>Elective – 2 (Select any One)</w:t>
            </w:r>
          </w:p>
        </w:tc>
      </w:tr>
    </w:tbl>
    <w:p/>
    <w:p>
      <w:pPr>
        <w:pStyle w:val="Heading2"/>
      </w:pPr>
      <w:r>
        <w:t>Parul University Online MBA Subjects for Second Year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Semester III</w:t>
            </w:r>
          </w:p>
        </w:tc>
        <w:tc>
          <w:tcPr>
            <w:tcW w:type="dxa" w:w="4968"/>
            <w:vAlign w:val="center"/>
            <w:shd w:fill="D9EAF7"/>
          </w:tcPr>
          <w:p>
            <w:r/>
            <w:r>
              <w:rPr>
                <w:rFonts w:ascii="Arial" w:hAnsi="Arial"/>
                <w:b/>
                <w:sz w:val="19"/>
              </w:rPr>
              <w:t>Semester IV</w:t>
            </w:r>
          </w:p>
        </w:tc>
      </w:tr>
      <w:tr>
        <w:tc>
          <w:tcPr>
            <w:tcW w:type="dxa" w:w="4968"/>
            <w:vAlign w:val="center"/>
          </w:tcPr>
          <w:p>
            <w:r/>
            <w:r>
              <w:rPr>
                <w:rFonts w:ascii="Arial" w:hAnsi="Arial"/>
                <w:b w:val="0"/>
                <w:sz w:val="19"/>
              </w:rPr>
              <w:t>Legal Aspects of Business</w:t>
            </w:r>
          </w:p>
        </w:tc>
        <w:tc>
          <w:tcPr>
            <w:tcW w:type="dxa" w:w="4968"/>
            <w:vAlign w:val="center"/>
          </w:tcPr>
          <w:p>
            <w:r/>
            <w:r>
              <w:rPr>
                <w:rFonts w:ascii="Arial" w:hAnsi="Arial"/>
                <w:b w:val="0"/>
                <w:sz w:val="19"/>
              </w:rPr>
              <w:t>Strategic Management</w:t>
            </w:r>
          </w:p>
        </w:tc>
      </w:tr>
      <w:tr>
        <w:tc>
          <w:tcPr>
            <w:tcW w:type="dxa" w:w="4968"/>
            <w:vAlign w:val="center"/>
          </w:tcPr>
          <w:p>
            <w:r/>
            <w:r>
              <w:rPr>
                <w:rFonts w:ascii="Arial" w:hAnsi="Arial"/>
                <w:b w:val="0"/>
                <w:sz w:val="19"/>
              </w:rPr>
              <w:t>Comprehensive Project</w:t>
            </w:r>
          </w:p>
        </w:tc>
        <w:tc>
          <w:tcPr>
            <w:tcW w:type="dxa" w:w="4968"/>
            <w:vAlign w:val="center"/>
          </w:tcPr>
          <w:p>
            <w:r/>
            <w:r>
              <w:rPr>
                <w:rFonts w:ascii="Arial" w:hAnsi="Arial"/>
                <w:b w:val="0"/>
                <w:sz w:val="19"/>
              </w:rPr>
              <w:t>Summer Internship Project</w:t>
            </w:r>
          </w:p>
        </w:tc>
      </w:tr>
      <w:tr>
        <w:tc>
          <w:tcPr>
            <w:tcW w:type="dxa" w:w="4968"/>
            <w:vAlign w:val="center"/>
          </w:tcPr>
          <w:p>
            <w:r/>
            <w:r>
              <w:rPr>
                <w:rFonts w:ascii="Arial" w:hAnsi="Arial"/>
                <w:b w:val="0"/>
                <w:sz w:val="19"/>
              </w:rPr>
              <w:t>New Enterprise and Innovation Management</w:t>
            </w:r>
          </w:p>
        </w:tc>
        <w:tc>
          <w:tcPr>
            <w:tcW w:type="dxa" w:w="4968"/>
            <w:vAlign w:val="center"/>
          </w:tcPr>
          <w:p>
            <w:r/>
            <w:r>
              <w:rPr>
                <w:rFonts w:ascii="Arial" w:hAnsi="Arial"/>
                <w:b w:val="0"/>
                <w:sz w:val="19"/>
              </w:rPr>
              <w:t>Financial Markets and Services</w:t>
            </w:r>
          </w:p>
        </w:tc>
      </w:tr>
      <w:tr>
        <w:tc>
          <w:tcPr>
            <w:tcW w:type="dxa" w:w="4968"/>
            <w:vAlign w:val="center"/>
          </w:tcPr>
          <w:p>
            <w:r/>
            <w:r>
              <w:rPr>
                <w:rFonts w:ascii="Arial" w:hAnsi="Arial"/>
                <w:b w:val="0"/>
                <w:sz w:val="19"/>
              </w:rPr>
              <w:t>Financial Markets and Services</w:t>
            </w:r>
          </w:p>
        </w:tc>
        <w:tc>
          <w:tcPr>
            <w:tcW w:type="dxa" w:w="4968"/>
            <w:vAlign w:val="center"/>
          </w:tcPr>
          <w:p>
            <w:r/>
            <w:r>
              <w:rPr>
                <w:rFonts w:ascii="Arial" w:hAnsi="Arial"/>
                <w:b w:val="0"/>
                <w:sz w:val="19"/>
              </w:rPr>
              <w:t>Retail and Rural Banking</w:t>
            </w:r>
          </w:p>
        </w:tc>
      </w:tr>
      <w:tr>
        <w:tc>
          <w:tcPr>
            <w:tcW w:type="dxa" w:w="4968"/>
            <w:vAlign w:val="center"/>
          </w:tcPr>
          <w:p>
            <w:r/>
            <w:r>
              <w:rPr>
                <w:rFonts w:ascii="Arial" w:hAnsi="Arial"/>
                <w:b w:val="0"/>
                <w:sz w:val="19"/>
              </w:rPr>
              <w:t>Retail and Rural Banking</w:t>
            </w:r>
          </w:p>
        </w:tc>
        <w:tc>
          <w:tcPr>
            <w:tcW w:type="dxa" w:w="4968"/>
            <w:vAlign w:val="center"/>
          </w:tcPr>
          <w:p>
            <w:r/>
            <w:r>
              <w:rPr>
                <w:rFonts w:ascii="Arial" w:hAnsi="Arial"/>
                <w:b w:val="0"/>
                <w:sz w:val="19"/>
              </w:rPr>
              <w:t>Business Ethics and Corporate Governance</w:t>
            </w:r>
          </w:p>
        </w:tc>
      </w:tr>
      <w:tr>
        <w:tc>
          <w:tcPr>
            <w:tcW w:type="dxa" w:w="4968"/>
            <w:vAlign w:val="center"/>
          </w:tcPr>
          <w:p>
            <w:r/>
            <w:r>
              <w:rPr>
                <w:rFonts w:ascii="Arial" w:hAnsi="Arial"/>
                <w:b w:val="0"/>
                <w:sz w:val="19"/>
              </w:rPr>
              <w:t>Micro Finance</w:t>
            </w:r>
          </w:p>
        </w:tc>
        <w:tc>
          <w:tcPr>
            <w:tcW w:type="dxa" w:w="4968"/>
            <w:vAlign w:val="center"/>
          </w:tcPr>
          <w:p>
            <w:r/>
            <w:r>
              <w:rPr>
                <w:rFonts w:ascii="Arial" w:hAnsi="Arial"/>
                <w:b w:val="0"/>
                <w:sz w:val="19"/>
              </w:rPr>
              <w:t>Comprehensive Project</w:t>
            </w:r>
          </w:p>
        </w:tc>
      </w:tr>
    </w:tbl>
    <w:p/>
    <w:p>
      <w:pPr>
        <w:pStyle w:val="Heading1"/>
      </w:pPr>
      <w:r>
        <w:t>Parul University Online MBA Fees 2026</w:t>
      </w:r>
    </w:p>
    <w:p>
      <w:r>
        <w:t>The supplied fee information describes multiple payment options, allowing students to select a payment plan according to their budget. The source states a total programme fee of INR 1,50,000 and also lists lump-sum and yearly payment options.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Fee Option</w:t>
            </w:r>
          </w:p>
        </w:tc>
        <w:tc>
          <w:tcPr>
            <w:tcW w:type="dxa" w:w="4968"/>
            <w:vAlign w:val="center"/>
            <w:shd w:fill="D9EAF7"/>
          </w:tcPr>
          <w:p>
            <w:r/>
            <w:r>
              <w:rPr>
                <w:rFonts w:ascii="Arial" w:hAnsi="Arial"/>
                <w:b/>
                <w:sz w:val="19"/>
              </w:rPr>
              <w:t>Parul University Online MBA Fee</w:t>
            </w:r>
          </w:p>
        </w:tc>
      </w:tr>
      <w:tr>
        <w:tc>
          <w:tcPr>
            <w:tcW w:type="dxa" w:w="4968"/>
            <w:vAlign w:val="center"/>
          </w:tcPr>
          <w:p>
            <w:r/>
            <w:r>
              <w:rPr>
                <w:rFonts w:ascii="Arial" w:hAnsi="Arial"/>
                <w:b w:val="0"/>
                <w:sz w:val="19"/>
              </w:rPr>
              <w:t>Lump Sum Fee</w:t>
            </w:r>
          </w:p>
        </w:tc>
        <w:tc>
          <w:tcPr>
            <w:tcW w:type="dxa" w:w="4968"/>
            <w:vAlign w:val="center"/>
          </w:tcPr>
          <w:p>
            <w:r/>
            <w:r>
              <w:rPr>
                <w:rFonts w:ascii="Arial" w:hAnsi="Arial"/>
                <w:b w:val="0"/>
                <w:sz w:val="19"/>
              </w:rPr>
              <w:t>INR 99,000</w:t>
            </w:r>
          </w:p>
        </w:tc>
      </w:tr>
      <w:tr>
        <w:tc>
          <w:tcPr>
            <w:tcW w:type="dxa" w:w="4968"/>
            <w:vAlign w:val="center"/>
          </w:tcPr>
          <w:p>
            <w:r/>
            <w:r>
              <w:rPr>
                <w:rFonts w:ascii="Arial" w:hAnsi="Arial"/>
                <w:b w:val="0"/>
                <w:sz w:val="19"/>
              </w:rPr>
              <w:t>Total / Programme Fee</w:t>
            </w:r>
          </w:p>
        </w:tc>
        <w:tc>
          <w:tcPr>
            <w:tcW w:type="dxa" w:w="4968"/>
            <w:vAlign w:val="center"/>
          </w:tcPr>
          <w:p>
            <w:r/>
            <w:r>
              <w:rPr>
                <w:rFonts w:ascii="Arial" w:hAnsi="Arial"/>
                <w:b w:val="0"/>
                <w:sz w:val="19"/>
              </w:rPr>
              <w:t>INR 1,50,000</w:t>
            </w:r>
          </w:p>
        </w:tc>
      </w:tr>
      <w:tr>
        <w:tc>
          <w:tcPr>
            <w:tcW w:type="dxa" w:w="4968"/>
            <w:vAlign w:val="center"/>
          </w:tcPr>
          <w:p>
            <w:r/>
            <w:r>
              <w:rPr>
                <w:rFonts w:ascii="Arial" w:hAnsi="Arial"/>
                <w:b w:val="0"/>
                <w:sz w:val="19"/>
              </w:rPr>
              <w:t>Semester Fee</w:t>
            </w:r>
          </w:p>
        </w:tc>
        <w:tc>
          <w:tcPr>
            <w:tcW w:type="dxa" w:w="4968"/>
            <w:vAlign w:val="center"/>
          </w:tcPr>
          <w:p>
            <w:r/>
            <w:r>
              <w:rPr>
                <w:rFonts w:ascii="Arial" w:hAnsi="Arial"/>
                <w:b w:val="0"/>
                <w:sz w:val="19"/>
              </w:rPr>
              <w:t>INR 37,500 per semester</w:t>
            </w:r>
          </w:p>
        </w:tc>
      </w:tr>
      <w:tr>
        <w:tc>
          <w:tcPr>
            <w:tcW w:type="dxa" w:w="4968"/>
            <w:vAlign w:val="center"/>
          </w:tcPr>
          <w:p>
            <w:r/>
            <w:r>
              <w:rPr>
                <w:rFonts w:ascii="Arial" w:hAnsi="Arial"/>
                <w:b w:val="0"/>
                <w:sz w:val="19"/>
              </w:rPr>
              <w:t>Yearly Fee</w:t>
            </w:r>
          </w:p>
        </w:tc>
        <w:tc>
          <w:tcPr>
            <w:tcW w:type="dxa" w:w="4968"/>
            <w:vAlign w:val="center"/>
          </w:tcPr>
          <w:p>
            <w:r/>
            <w:r>
              <w:rPr>
                <w:rFonts w:ascii="Arial" w:hAnsi="Arial"/>
                <w:b w:val="0"/>
                <w:sz w:val="19"/>
              </w:rPr>
              <w:t>INR 1,20,000</w:t>
            </w:r>
          </w:p>
        </w:tc>
      </w:tr>
      <w:tr>
        <w:tc>
          <w:tcPr>
            <w:tcW w:type="dxa" w:w="4968"/>
            <w:vAlign w:val="center"/>
          </w:tcPr>
          <w:p>
            <w:r/>
            <w:r>
              <w:rPr>
                <w:rFonts w:ascii="Arial" w:hAnsi="Arial"/>
                <w:b w:val="0"/>
                <w:sz w:val="19"/>
              </w:rPr>
              <w:t>Flexible Payment</w:t>
            </w:r>
          </w:p>
        </w:tc>
        <w:tc>
          <w:tcPr>
            <w:tcW w:type="dxa" w:w="4968"/>
            <w:vAlign w:val="center"/>
          </w:tcPr>
          <w:p>
            <w:r/>
            <w:r>
              <w:rPr>
                <w:rFonts w:ascii="Arial" w:hAnsi="Arial"/>
                <w:b w:val="0"/>
                <w:sz w:val="19"/>
              </w:rPr>
              <w:t>Instalment / EMI options are mentioned in the source</w:t>
            </w:r>
          </w:p>
        </w:tc>
      </w:tr>
    </w:tbl>
    <w:p/>
    <w:p>
      <w:r>
        <w:t>Applicants should confirm the latest fee schedule, applicable examination charges, scholarships and payment terms with the university before making a payment.</w:t>
      </w:r>
    </w:p>
    <w:p>
      <w:pPr>
        <w:pStyle w:val="Heading1"/>
      </w:pPr>
      <w:r>
        <w:t>Why Choose Parul University for an Online MBA?</w:t>
      </w:r>
    </w:p>
    <w:p>
      <w:r>
        <w:t>The Parul University Online MBA combines online flexibility with structured management education and digital learning support. Based on the supplied material, key reasons to consider the programme include:</w:t>
      </w:r>
    </w:p>
    <w:p>
      <w:r>
        <w:rPr>
          <w:b/>
        </w:rPr>
        <w:t xml:space="preserve">Flexible Online Learning: </w:t>
      </w:r>
      <w:r>
        <w:t>The LMS enables students to access classes and interact with faculty through digital learning facilities.</w:t>
      </w:r>
    </w:p>
    <w:p>
      <w:r>
        <w:rPr>
          <w:b/>
        </w:rPr>
        <w:t xml:space="preserve">Industry Exposure: </w:t>
      </w:r>
      <w:r>
        <w:t>The programme is positioned around practical learning, industry interaction and career-oriented management education.</w:t>
      </w:r>
    </w:p>
    <w:p>
      <w:r>
        <w:rPr>
          <w:b/>
        </w:rPr>
        <w:t xml:space="preserve">Wide Specialisation Choice: </w:t>
      </w:r>
      <w:r>
        <w:t>Students can choose from multiple management domains, including finance, marketing, HR, analytics, IT and operations.</w:t>
      </w:r>
    </w:p>
    <w:p>
      <w:r>
        <w:rPr>
          <w:b/>
        </w:rPr>
        <w:t xml:space="preserve">Career Support: </w:t>
      </w:r>
      <w:r>
        <w:t>The university provides placement assistance and access to hiring partners according to the supplied source.</w:t>
      </w:r>
    </w:p>
    <w:p>
      <w:r>
        <w:rPr>
          <w:b/>
        </w:rPr>
        <w:t xml:space="preserve">Accessible Fee Options: </w:t>
      </w:r>
      <w:r>
        <w:t>Multiple payment formats are provided, including lump sum and yearly options.</w:t>
      </w:r>
    </w:p>
    <w:p>
      <w:pPr>
        <w:pStyle w:val="Heading1"/>
      </w:pPr>
      <w:r>
        <w:t>Parul University Online MBA Placement &amp; Career Support</w:t>
      </w:r>
    </w:p>
    <w:p>
      <w:r>
        <w:t>The source content states that students receive dedicated placement assistance and access to more than 700 hiring partners. Career support is intended to help learners understand job opportunities, improve employability and connect with potential recruiters.</w:t>
      </w:r>
    </w:p>
    <w:p>
      <w:pPr>
        <w:pStyle w:val="Heading1"/>
      </w:pPr>
      <w:r>
        <w:t>Career Opportunities After Parul University Online MBA</w:t>
      </w:r>
    </w:p>
    <w:p>
      <w:r>
        <w:t>An MBA can open opportunities across management, finance, marketing, operations, human resources, healthcare and technology. The following roles and salary ranges are provided in the supplied source. Salary figures can vary by experience, location, employer, skills and role.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Job Role</w:t>
            </w:r>
          </w:p>
        </w:tc>
        <w:tc>
          <w:tcPr>
            <w:tcW w:type="dxa" w:w="3312"/>
            <w:vAlign w:val="center"/>
            <w:shd w:fill="D9EAF7"/>
          </w:tcPr>
          <w:p>
            <w:r/>
            <w:r>
              <w:rPr>
                <w:rFonts w:ascii="Arial" w:hAnsi="Arial"/>
                <w:b/>
                <w:sz w:val="19"/>
              </w:rPr>
              <w:t>Typical Responsibilities</w:t>
            </w:r>
          </w:p>
        </w:tc>
        <w:tc>
          <w:tcPr>
            <w:tcW w:type="dxa" w:w="3312"/>
            <w:vAlign w:val="center"/>
            <w:shd w:fill="D9EAF7"/>
          </w:tcPr>
          <w:p>
            <w:r/>
            <w:r>
              <w:rPr>
                <w:rFonts w:ascii="Arial" w:hAnsi="Arial"/>
                <w:b/>
                <w:sz w:val="19"/>
              </w:rPr>
              <w:t>Salary Range*</w:t>
            </w:r>
          </w:p>
        </w:tc>
      </w:tr>
      <w:tr>
        <w:tc>
          <w:tcPr>
            <w:tcW w:type="dxa" w:w="3312"/>
            <w:vAlign w:val="center"/>
          </w:tcPr>
          <w:p>
            <w:r/>
            <w:r>
              <w:rPr>
                <w:rFonts w:ascii="Arial" w:hAnsi="Arial"/>
                <w:b w:val="0"/>
                <w:sz w:val="19"/>
              </w:rPr>
              <w:t>Human Resources</w:t>
            </w:r>
          </w:p>
        </w:tc>
        <w:tc>
          <w:tcPr>
            <w:tcW w:type="dxa" w:w="3312"/>
            <w:vAlign w:val="center"/>
          </w:tcPr>
          <w:p>
            <w:r/>
            <w:r>
              <w:rPr>
                <w:rFonts w:ascii="Arial" w:hAnsi="Arial"/>
                <w:b w:val="0"/>
                <w:sz w:val="19"/>
              </w:rPr>
              <w:t>Recruitment, employee relations and benefits management.</w:t>
            </w:r>
          </w:p>
        </w:tc>
        <w:tc>
          <w:tcPr>
            <w:tcW w:type="dxa" w:w="3312"/>
            <w:vAlign w:val="center"/>
          </w:tcPr>
          <w:p>
            <w:r/>
            <w:r>
              <w:rPr>
                <w:rFonts w:ascii="Arial" w:hAnsi="Arial"/>
                <w:b w:val="0"/>
                <w:sz w:val="19"/>
              </w:rPr>
              <w:t>INR 4 LPA – 12 LPA</w:t>
            </w:r>
          </w:p>
        </w:tc>
      </w:tr>
      <w:tr>
        <w:tc>
          <w:tcPr>
            <w:tcW w:type="dxa" w:w="3312"/>
            <w:vAlign w:val="center"/>
          </w:tcPr>
          <w:p>
            <w:r/>
            <w:r>
              <w:rPr>
                <w:rFonts w:ascii="Arial" w:hAnsi="Arial"/>
                <w:b w:val="0"/>
                <w:sz w:val="19"/>
              </w:rPr>
              <w:t>Management Consulting</w:t>
            </w:r>
          </w:p>
        </w:tc>
        <w:tc>
          <w:tcPr>
            <w:tcW w:type="dxa" w:w="3312"/>
            <w:vAlign w:val="center"/>
          </w:tcPr>
          <w:p>
            <w:r/>
            <w:r>
              <w:rPr>
                <w:rFonts w:ascii="Arial" w:hAnsi="Arial"/>
                <w:b w:val="0"/>
                <w:sz w:val="19"/>
              </w:rPr>
              <w:t>Advising organisations on efficiency, strategy and operations.</w:t>
            </w:r>
          </w:p>
        </w:tc>
        <w:tc>
          <w:tcPr>
            <w:tcW w:type="dxa" w:w="3312"/>
            <w:vAlign w:val="center"/>
          </w:tcPr>
          <w:p>
            <w:r/>
            <w:r>
              <w:rPr>
                <w:rFonts w:ascii="Arial" w:hAnsi="Arial"/>
                <w:b w:val="0"/>
                <w:sz w:val="19"/>
              </w:rPr>
              <w:t>INR 7 LPA – 18 LPA</w:t>
            </w:r>
          </w:p>
        </w:tc>
      </w:tr>
      <w:tr>
        <w:tc>
          <w:tcPr>
            <w:tcW w:type="dxa" w:w="3312"/>
            <w:vAlign w:val="center"/>
          </w:tcPr>
          <w:p>
            <w:r/>
            <w:r>
              <w:rPr>
                <w:rFonts w:ascii="Arial" w:hAnsi="Arial"/>
                <w:b w:val="0"/>
                <w:sz w:val="19"/>
              </w:rPr>
              <w:t>Marketing Manager</w:t>
            </w:r>
          </w:p>
        </w:tc>
        <w:tc>
          <w:tcPr>
            <w:tcW w:type="dxa" w:w="3312"/>
            <w:vAlign w:val="center"/>
          </w:tcPr>
          <w:p>
            <w:r/>
            <w:r>
              <w:rPr>
                <w:rFonts w:ascii="Arial" w:hAnsi="Arial"/>
                <w:b w:val="0"/>
                <w:sz w:val="19"/>
              </w:rPr>
              <w:t>Developing and implementing marketing strategies and promoting products/services.</w:t>
            </w:r>
          </w:p>
        </w:tc>
        <w:tc>
          <w:tcPr>
            <w:tcW w:type="dxa" w:w="3312"/>
            <w:vAlign w:val="center"/>
          </w:tcPr>
          <w:p>
            <w:r/>
            <w:r>
              <w:rPr>
                <w:rFonts w:ascii="Arial" w:hAnsi="Arial"/>
                <w:b w:val="0"/>
                <w:sz w:val="19"/>
              </w:rPr>
              <w:t>INR 6 LPA – 15 LPA</w:t>
            </w:r>
          </w:p>
        </w:tc>
      </w:tr>
      <w:tr>
        <w:tc>
          <w:tcPr>
            <w:tcW w:type="dxa" w:w="3312"/>
            <w:vAlign w:val="center"/>
          </w:tcPr>
          <w:p>
            <w:r/>
            <w:r>
              <w:rPr>
                <w:rFonts w:ascii="Arial" w:hAnsi="Arial"/>
                <w:b w:val="0"/>
                <w:sz w:val="19"/>
              </w:rPr>
              <w:t>Operations Manager</w:t>
            </w:r>
          </w:p>
        </w:tc>
        <w:tc>
          <w:tcPr>
            <w:tcW w:type="dxa" w:w="3312"/>
            <w:vAlign w:val="center"/>
          </w:tcPr>
          <w:p>
            <w:r/>
            <w:r>
              <w:rPr>
                <w:rFonts w:ascii="Arial" w:hAnsi="Arial"/>
                <w:b w:val="0"/>
                <w:sz w:val="19"/>
              </w:rPr>
              <w:t>Managing operations, supply chains and logistics.</w:t>
            </w:r>
          </w:p>
        </w:tc>
        <w:tc>
          <w:tcPr>
            <w:tcW w:type="dxa" w:w="3312"/>
            <w:vAlign w:val="center"/>
          </w:tcPr>
          <w:p>
            <w:r/>
            <w:r>
              <w:rPr>
                <w:rFonts w:ascii="Arial" w:hAnsi="Arial"/>
                <w:b w:val="0"/>
                <w:sz w:val="19"/>
              </w:rPr>
              <w:t>INR 4 LPA – 11 LPA</w:t>
            </w:r>
          </w:p>
        </w:tc>
      </w:tr>
      <w:tr>
        <w:tc>
          <w:tcPr>
            <w:tcW w:type="dxa" w:w="3312"/>
            <w:vAlign w:val="center"/>
          </w:tcPr>
          <w:p>
            <w:r/>
            <w:r>
              <w:rPr>
                <w:rFonts w:ascii="Arial" w:hAnsi="Arial"/>
                <w:b w:val="0"/>
                <w:sz w:val="19"/>
              </w:rPr>
              <w:t>Entrepreneurship</w:t>
            </w:r>
          </w:p>
        </w:tc>
        <w:tc>
          <w:tcPr>
            <w:tcW w:type="dxa" w:w="3312"/>
            <w:vAlign w:val="center"/>
          </w:tcPr>
          <w:p>
            <w:r/>
            <w:r>
              <w:rPr>
                <w:rFonts w:ascii="Arial" w:hAnsi="Arial"/>
                <w:b w:val="0"/>
                <w:sz w:val="19"/>
              </w:rPr>
              <w:t>Building and managing a business based on market opportunities.</w:t>
            </w:r>
          </w:p>
        </w:tc>
        <w:tc>
          <w:tcPr>
            <w:tcW w:type="dxa" w:w="3312"/>
            <w:vAlign w:val="center"/>
          </w:tcPr>
          <w:p>
            <w:r/>
            <w:r>
              <w:rPr>
                <w:rFonts w:ascii="Arial" w:hAnsi="Arial"/>
                <w:b w:val="0"/>
                <w:sz w:val="19"/>
              </w:rPr>
              <w:t>Depends on business revenue</w:t>
            </w:r>
          </w:p>
        </w:tc>
      </w:tr>
      <w:tr>
        <w:tc>
          <w:tcPr>
            <w:tcW w:type="dxa" w:w="3312"/>
            <w:vAlign w:val="center"/>
          </w:tcPr>
          <w:p>
            <w:r/>
            <w:r>
              <w:rPr>
                <w:rFonts w:ascii="Arial" w:hAnsi="Arial"/>
                <w:b w:val="0"/>
                <w:sz w:val="19"/>
              </w:rPr>
              <w:t>Finance</w:t>
            </w:r>
          </w:p>
        </w:tc>
        <w:tc>
          <w:tcPr>
            <w:tcW w:type="dxa" w:w="3312"/>
            <w:vAlign w:val="center"/>
          </w:tcPr>
          <w:p>
            <w:r/>
            <w:r>
              <w:rPr>
                <w:rFonts w:ascii="Arial" w:hAnsi="Arial"/>
                <w:b w:val="0"/>
                <w:sz w:val="19"/>
              </w:rPr>
              <w:t>Financial planning, analysis and reporting.</w:t>
            </w:r>
          </w:p>
        </w:tc>
        <w:tc>
          <w:tcPr>
            <w:tcW w:type="dxa" w:w="3312"/>
            <w:vAlign w:val="center"/>
          </w:tcPr>
          <w:p>
            <w:r/>
            <w:r>
              <w:rPr>
                <w:rFonts w:ascii="Arial" w:hAnsi="Arial"/>
                <w:b w:val="0"/>
                <w:sz w:val="19"/>
              </w:rPr>
              <w:t>INR 6 LPA – 18 LPA</w:t>
            </w:r>
          </w:p>
        </w:tc>
      </w:tr>
      <w:tr>
        <w:tc>
          <w:tcPr>
            <w:tcW w:type="dxa" w:w="3312"/>
            <w:vAlign w:val="center"/>
          </w:tcPr>
          <w:p>
            <w:r/>
            <w:r>
              <w:rPr>
                <w:rFonts w:ascii="Arial" w:hAnsi="Arial"/>
                <w:b w:val="0"/>
                <w:sz w:val="19"/>
              </w:rPr>
              <w:t>Healthcare</w:t>
            </w:r>
          </w:p>
        </w:tc>
        <w:tc>
          <w:tcPr>
            <w:tcW w:type="dxa" w:w="3312"/>
            <w:vAlign w:val="center"/>
          </w:tcPr>
          <w:p>
            <w:r/>
            <w:r>
              <w:rPr>
                <w:rFonts w:ascii="Arial" w:hAnsi="Arial"/>
                <w:b w:val="0"/>
                <w:sz w:val="19"/>
              </w:rPr>
              <w:t>Managing healthcare services, policies and programmes.</w:t>
            </w:r>
          </w:p>
        </w:tc>
        <w:tc>
          <w:tcPr>
            <w:tcW w:type="dxa" w:w="3312"/>
            <w:vAlign w:val="center"/>
          </w:tcPr>
          <w:p>
            <w:r/>
            <w:r>
              <w:rPr>
                <w:rFonts w:ascii="Arial" w:hAnsi="Arial"/>
                <w:b w:val="0"/>
                <w:sz w:val="19"/>
              </w:rPr>
              <w:t>INR 5 LPA – 10 LPA</w:t>
            </w:r>
          </w:p>
        </w:tc>
      </w:tr>
      <w:tr>
        <w:tc>
          <w:tcPr>
            <w:tcW w:type="dxa" w:w="3312"/>
            <w:vAlign w:val="center"/>
          </w:tcPr>
          <w:p>
            <w:r/>
            <w:r>
              <w:rPr>
                <w:rFonts w:ascii="Arial" w:hAnsi="Arial"/>
                <w:b w:val="0"/>
                <w:sz w:val="19"/>
              </w:rPr>
              <w:t>Finance Manager</w:t>
            </w:r>
          </w:p>
        </w:tc>
        <w:tc>
          <w:tcPr>
            <w:tcW w:type="dxa" w:w="3312"/>
            <w:vAlign w:val="center"/>
          </w:tcPr>
          <w:p>
            <w:r/>
            <w:r>
              <w:rPr>
                <w:rFonts w:ascii="Arial" w:hAnsi="Arial"/>
                <w:b w:val="0"/>
                <w:sz w:val="19"/>
              </w:rPr>
              <w:t>Planning, budgeting, investments and organisational financial management.</w:t>
            </w:r>
          </w:p>
        </w:tc>
        <w:tc>
          <w:tcPr>
            <w:tcW w:type="dxa" w:w="3312"/>
            <w:vAlign w:val="center"/>
          </w:tcPr>
          <w:p>
            <w:r/>
            <w:r>
              <w:rPr>
                <w:rFonts w:ascii="Arial" w:hAnsi="Arial"/>
                <w:b w:val="0"/>
                <w:sz w:val="19"/>
              </w:rPr>
              <w:t>INR 8 LPA – 15 LPA</w:t>
            </w:r>
          </w:p>
        </w:tc>
      </w:tr>
      <w:tr>
        <w:tc>
          <w:tcPr>
            <w:tcW w:type="dxa" w:w="3312"/>
            <w:vAlign w:val="center"/>
          </w:tcPr>
          <w:p>
            <w:r/>
            <w:r>
              <w:rPr>
                <w:rFonts w:ascii="Arial" w:hAnsi="Arial"/>
                <w:b w:val="0"/>
                <w:sz w:val="19"/>
              </w:rPr>
              <w:t>Information Technology</w:t>
            </w:r>
          </w:p>
        </w:tc>
        <w:tc>
          <w:tcPr>
            <w:tcW w:type="dxa" w:w="3312"/>
            <w:vAlign w:val="center"/>
          </w:tcPr>
          <w:p>
            <w:r/>
            <w:r>
              <w:rPr>
                <w:rFonts w:ascii="Arial" w:hAnsi="Arial"/>
                <w:b w:val="0"/>
                <w:sz w:val="19"/>
              </w:rPr>
              <w:t>Managing IT systems, infrastructure, data systems and emerging technologies.</w:t>
            </w:r>
          </w:p>
        </w:tc>
        <w:tc>
          <w:tcPr>
            <w:tcW w:type="dxa" w:w="3312"/>
            <w:vAlign w:val="center"/>
          </w:tcPr>
          <w:p>
            <w:r/>
            <w:r>
              <w:rPr>
                <w:rFonts w:ascii="Arial" w:hAnsi="Arial"/>
                <w:b w:val="0"/>
                <w:sz w:val="19"/>
              </w:rPr>
              <w:t>INR 6 LPA – 18 LPA</w:t>
            </w:r>
          </w:p>
        </w:tc>
      </w:tr>
    </w:tbl>
    <w:p/>
    <w:p>
      <w:r>
        <w:t>*Salary ranges are reproduced from the supplied source and should be treated as indicative, not guaranteed.</w:t>
      </w:r>
    </w:p>
    <w:p>
      <w:pPr>
        <w:pStyle w:val="Heading2"/>
      </w:pPr>
      <w:r>
        <w:t>Parul University Online MBA Key Recruiters</w:t>
      </w:r>
    </w:p>
    <w:p>
      <w:pPr>
        <w:pStyle w:val="ListBullet"/>
      </w:pPr>
      <w:r>
        <w:t>Reliance Digital</w:t>
      </w:r>
    </w:p>
    <w:p>
      <w:pPr>
        <w:pStyle w:val="ListBullet"/>
      </w:pPr>
      <w:r>
        <w:t>Amazon</w:t>
      </w:r>
    </w:p>
    <w:p>
      <w:pPr>
        <w:pStyle w:val="ListBullet"/>
      </w:pPr>
      <w:r>
        <w:t>L&amp;T</w:t>
      </w:r>
    </w:p>
    <w:p>
      <w:pPr>
        <w:pStyle w:val="ListBullet"/>
      </w:pPr>
      <w:r>
        <w:t>Vodafone</w:t>
      </w:r>
    </w:p>
    <w:p>
      <w:pPr>
        <w:pStyle w:val="ListBullet"/>
      </w:pPr>
      <w:r>
        <w:t>Tata Consultancy Services (TCS)</w:t>
      </w:r>
    </w:p>
    <w:p>
      <w:pPr>
        <w:pStyle w:val="Heading1"/>
      </w:pPr>
      <w:r>
        <w:t>Parul University Online MBA Alumni Reviews</w:t>
      </w:r>
    </w:p>
    <w:p>
      <w:r>
        <w:t>The supplied content includes alumni testimonials attributed to the university’s official website. They highlight practical learning, industry exposure, flexibility and faculty support.</w:t>
      </w:r>
    </w:p>
    <w:p>
      <w:r>
        <w:rPr>
          <w:b/>
        </w:rPr>
        <w:t xml:space="preserve">Neha: </w:t>
      </w:r>
      <w:r>
        <w:t>The programme’s practical learning and industry exposure helped her move towards her desired management career.</w:t>
      </w:r>
    </w:p>
    <w:p>
      <w:r>
        <w:rPr>
          <w:b/>
        </w:rPr>
        <w:t xml:space="preserve">Amit: </w:t>
      </w:r>
      <w:r>
        <w:t>The global exposure and case-study-based approach helped build confidence in handling real-world business challenges.</w:t>
      </w:r>
    </w:p>
    <w:p>
      <w:r>
        <w:rPr>
          <w:b/>
        </w:rPr>
        <w:t xml:space="preserve">Priya: </w:t>
      </w:r>
      <w:r>
        <w:t>The flexible learning model and faculty support helped her upskill while continuing her career.</w:t>
      </w:r>
    </w:p>
    <w:p>
      <w:pPr>
        <w:pStyle w:val="Heading1"/>
      </w:pPr>
      <w:r>
        <w:t>Who Should Join Parul University Online MBA?</w:t>
      </w:r>
    </w:p>
    <w:p>
      <w:r>
        <w:t>The programme can be considered by learners who want postgraduate management education without following a conventional classroom schedule. Based on the supplied content, it may be suitable for the following groups:</w:t>
      </w:r>
    </w:p>
    <w:p>
      <w:pPr>
        <w:pStyle w:val="ListBullet"/>
      </w:pPr>
      <w:r>
        <w:t>Graduates seeking holistic knowledge of business and management.</w:t>
      </w:r>
    </w:p>
    <w:p>
      <w:pPr>
        <w:pStyle w:val="ListBullet"/>
      </w:pPr>
      <w:r>
        <w:t>Working professionals who want to study while continuing their jobs.</w:t>
      </w:r>
    </w:p>
    <w:p>
      <w:pPr>
        <w:pStyle w:val="ListBullet"/>
      </w:pPr>
      <w:r>
        <w:t>Learners who need flexible schedules because of work or other commitments.</w:t>
      </w:r>
    </w:p>
    <w:p>
      <w:pPr>
        <w:pStyle w:val="ListBullet"/>
      </w:pPr>
      <w:r>
        <w:t>Professionals looking to improve their career prospects and salary potential.</w:t>
      </w:r>
    </w:p>
    <w:p>
      <w:pPr>
        <w:pStyle w:val="ListBullet"/>
      </w:pPr>
      <w:r>
        <w:t>Managers or professionals planning a transition towards entrepreneurship.</w:t>
      </w:r>
    </w:p>
    <w:p>
      <w:pPr>
        <w:pStyle w:val="ListBullet"/>
      </w:pPr>
      <w:r>
        <w:t>Learners looking for a specialised MBA pathway in areas such as finance, marketing, HR, analytics, IT or operations.</w:t>
      </w:r>
    </w:p>
    <w:p>
      <w:pPr>
        <w:pStyle w:val="Heading1"/>
      </w:pPr>
      <w:r>
        <w:t>Final Takeaway</w:t>
      </w:r>
    </w:p>
    <w:p>
      <w:r>
        <w:t>Parul University Online MBA offers a flexible two-year route to postgraduate management education, supported by an online LMS, multiple specialisations, career-oriented learning and placement assistance. Its broad specialisation portfolio makes it relevant for learners targeting different business functions, from finance and marketing to analytics, IT, operations and entrepreneurship.</w:t>
      </w:r>
    </w:p>
    <w:p>
      <w:r>
        <w:t>Before applying for Parul University Online MBA Admission 2026, candidates should verify the latest eligibility rules, fee structure, specialisation availability, admission deadlines, examination requirements and placement-related information directly with the university.</w:t>
      </w:r>
    </w:p>
    <w:p>
      <w:pPr>
        <w:pStyle w:val="Heading1"/>
      </w:pPr>
      <w:r>
        <w:t>Frequently Asked Questions About Parul University Online MBA</w:t>
      </w:r>
    </w:p>
    <w:p>
      <w:r>
        <w:rPr>
          <w:b/>
        </w:rPr>
        <w:t>Is Parul University Online MBA valid?</w:t>
      </w:r>
    </w:p>
    <w:p>
      <w:r>
        <w:t>The supplied content identifies the programme with UGC-DEB recognition and NAAC A++ accreditation. Applicants should verify the latest recognition status before admission.</w:t>
      </w:r>
    </w:p>
    <w:p>
      <w:r>
        <w:rPr>
          <w:b/>
        </w:rPr>
        <w:t>What is the duration of Parul University Online MBA?</w:t>
      </w:r>
    </w:p>
    <w:p>
      <w:r>
        <w:t>The Online MBA is a two-year postgraduate programme divided into four semesters.</w:t>
      </w:r>
    </w:p>
    <w:p>
      <w:r>
        <w:rPr>
          <w:b/>
        </w:rPr>
        <w:t>What is the eligibility for Parul University Online MBA?</w:t>
      </w:r>
    </w:p>
    <w:p>
      <w:r>
        <w:t>Applicants should hold a bachelor’s degree from a recognised university. The supplied content mentions 50% marks for General Category and 45% for Reserved Category candidates.</w:t>
      </w:r>
    </w:p>
    <w:p>
      <w:r>
        <w:rPr>
          <w:b/>
        </w:rPr>
        <w:t>Does Parul University Online MBA have an age limit?</w:t>
      </w:r>
    </w:p>
    <w:p>
      <w:r>
        <w:t>The supplied content states that there is no upper age restriction.</w:t>
      </w:r>
    </w:p>
    <w:p>
      <w:r>
        <w:rPr>
          <w:b/>
        </w:rPr>
        <w:t>What is the Parul University Online MBA fee?</w:t>
      </w:r>
    </w:p>
    <w:p>
      <w:r>
        <w:t>The supplied content lists INR 1,50,000 as the total programme fee, INR 99,000 as the lump-sum option and INR 1,20,000 as the yearly option.</w:t>
      </w:r>
    </w:p>
    <w:p>
      <w:r>
        <w:rPr>
          <w:b/>
        </w:rPr>
        <w:t>How many specialisations are offered?</w:t>
      </w:r>
    </w:p>
    <w:p>
      <w:r>
        <w:t>The supplied content lists 20 specialisations, including Finance, Marketing, Business Analytics, HR, IT, Operations, Healthcare Management and others.</w:t>
      </w:r>
    </w:p>
    <w:p>
      <w:r>
        <w:rPr>
          <w:b/>
        </w:rPr>
        <w:t>Is the Parul University Online MBA exam conducted online?</w:t>
      </w:r>
    </w:p>
    <w:p>
      <w:r>
        <w:t>Yes. The supplied highlights specify online examination mode.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Parul University Online MBA Admission 2026 | SEO Blog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