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Shoolini University Online BCA – Vendor-Ready SEO Content File</w:t>
      </w:r>
    </w:p>
    <w:p>
      <w:r>
        <w:t>Content type: University + Course Pillar Blog | Course: Online BCA | Academic focus: 2026</w:t>
      </w:r>
    </w:p>
    <w:p>
      <w:r>
        <w:t>Editorial direction: Use these connected content blocks as one complete pillar page. Each section is independently scannable but internally connected through course, eligibility, fees, curriculum, admission, learning experience, placement and career-intent keywords.</w:t>
      </w:r>
    </w:p>
    <w:p>
      <w:pPr>
        <w:pStyle w:val="Heading1"/>
      </w:pPr>
      <w:r>
        <w:t>1. Introduction to Shoolini University Online BCA</w:t>
      </w:r>
    </w:p>
    <w:p>
      <w:r>
        <w:rPr>
          <w:sz w:val="22"/>
        </w:rPr>
        <w:t>Shoolini University Online BCA is a three-year undergraduate program designed for learners who want to build a career in computer applications and information technology without following a conventional campus schedule. The online format combines foundational computing education with programming, databases, web technologies, software development and practical learning. For students looking for a flexible BCA degree, the program provides a structured route from basic programming concepts to application-oriented IT skills.</w:t>
      </w:r>
    </w:p>
    <w:p>
      <w:r>
        <w:rPr>
          <w:sz w:val="22"/>
        </w:rPr>
        <w:t>The program is delivered through Shoolini University’s Centre for Distance and Online Education (SCDOE), with digital learning resources, online academic support and a semester-based structure. This page covers the Shoolini Online BCA course, eligibility, fee structure, curriculum, learning model, admission process, career opportunities, advantages and limitations so prospective students can evaluate the program before applying.</w:t>
      </w:r>
    </w:p>
    <w:p>
      <w:pPr>
        <w:pStyle w:val="Heading1"/>
      </w:pPr>
      <w:r>
        <w:t>2. Shoolini University Online: University Overview</w:t>
      </w:r>
    </w:p>
    <w:p>
      <w:r>
        <w:rPr>
          <w:sz w:val="22"/>
        </w:rPr>
        <w:t>Shoolini University is a private university in Himachal Pradesh established in 2009. Its online education ecosystem extends the university’s academic offering to learners who need location and schedule flexibility. The university describes its approach around research, innovation, digital learning and industry exposure.</w:t>
      </w:r>
    </w:p>
    <w:p>
      <w:pPr>
        <w:pStyle w:val="ListBullet"/>
      </w:pPr>
      <w:r>
        <w:t>University established in 2009 under an Act of the Government of Himachal Pradesh.</w:t>
      </w:r>
    </w:p>
    <w:p>
      <w:pPr>
        <w:pStyle w:val="ListBullet"/>
      </w:pPr>
      <w:r>
        <w:t>UGC-recognised university under Section 2(f).</w:t>
      </w:r>
    </w:p>
    <w:p>
      <w:pPr>
        <w:pStyle w:val="ListBullet"/>
      </w:pPr>
      <w:r>
        <w:t>NAAC A+ accreditation, awarded in November 2024 and valid through November 2029.</w:t>
      </w:r>
    </w:p>
    <w:p>
      <w:pPr>
        <w:pStyle w:val="ListBullet"/>
      </w:pPr>
      <w:r>
        <w:t>ISO 9001:2015 certification is listed by the university.</w:t>
      </w:r>
    </w:p>
    <w:p>
      <w:pPr>
        <w:pStyle w:val="ListBullet"/>
      </w:pPr>
      <w:r>
        <w:t>The university maintains a dedicated Centre for Distance and Online Education (SCDOE) for online programs.</w:t>
      </w:r>
    </w:p>
    <w:p>
      <w:pPr>
        <w:pStyle w:val="Heading1"/>
      </w:pPr>
      <w:r>
        <w:t>3. Recognition and Accreditation of Shoolini Online BCA</w:t>
      </w:r>
    </w:p>
    <w:p>
      <w:r>
        <w:rPr>
          <w:sz w:val="22"/>
        </w:rPr>
        <w:t>Recognition is one of the first checks students should make before enrolling in an online degree. Shoolini University’s official disclosures identify the institution as UGC-recognised and its online education section publishes UGC-related entitlement and program documentation. For the Online BCA, students should always verify the current academic-session entitlement and program status before paying the application fee.</w:t>
      </w:r>
    </w:p>
    <w:p>
      <w:pPr>
        <w:pStyle w:val="ListBullet"/>
      </w:pPr>
      <w:r>
        <w:t>UGC recognition of Shoolini University.</w:t>
      </w:r>
    </w:p>
    <w:p>
      <w:pPr>
        <w:pStyle w:val="ListBullet"/>
      </w:pPr>
      <w:r>
        <w:t>Online-program entitlement documentation is published by the university/UGC ecosystem.</w:t>
      </w:r>
    </w:p>
    <w:p>
      <w:pPr>
        <w:pStyle w:val="ListBullet"/>
      </w:pPr>
      <w:r>
        <w:t>NAAC A+ institutional accreditation.</w:t>
      </w:r>
    </w:p>
    <w:p>
      <w:pPr>
        <w:pStyle w:val="ListBullet"/>
      </w:pPr>
      <w:r>
        <w:t>Online degree equivalence is governed by applicable UGC regulations when the program and institution meet the prescribed requirements.</w:t>
      </w:r>
    </w:p>
    <w:p>
      <w:pPr>
        <w:pStyle w:val="Heading1"/>
      </w:pPr>
      <w:r>
        <w:t>4. Why Choose Shoolini University Online BCA?</w:t>
      </w:r>
    </w:p>
    <w:p>
      <w:pPr>
        <w:pStyle w:val="Heading2"/>
      </w:pPr>
      <w:r>
        <w:t>Flexible Learning</w:t>
      </w:r>
    </w:p>
    <w:p>
      <w:r>
        <w:rPr>
          <w:sz w:val="22"/>
        </w:rPr>
        <w:t>Students can access learning from their preferred location, making the format suitable for learners managing work, family responsibilities or other commitments.</w:t>
      </w:r>
    </w:p>
    <w:p>
      <w:pPr>
        <w:pStyle w:val="Heading2"/>
      </w:pPr>
      <w:r>
        <w:t>Technology-Focused Curriculum</w:t>
      </w:r>
    </w:p>
    <w:p>
      <w:r>
        <w:rPr>
          <w:sz w:val="22"/>
        </w:rPr>
        <w:t>The program builds knowledge across programming, data structures, databases, web technology, software engineering, operating systems and cloud computing.</w:t>
      </w:r>
    </w:p>
    <w:p>
      <w:pPr>
        <w:pStyle w:val="Heading2"/>
      </w:pPr>
      <w:r>
        <w:t>Practical Orientation</w:t>
      </w:r>
    </w:p>
    <w:p>
      <w:r>
        <w:rPr>
          <w:sz w:val="22"/>
        </w:rPr>
        <w:t>Projects, assignments and applied activities help learners connect concepts with real-world computing problems.</w:t>
      </w:r>
    </w:p>
    <w:p>
      <w:pPr>
        <w:pStyle w:val="Heading2"/>
      </w:pPr>
      <w:r>
        <w:t>Digital Learning Ecosystem</w:t>
      </w:r>
    </w:p>
    <w:p>
      <w:r>
        <w:rPr>
          <w:sz w:val="22"/>
        </w:rPr>
        <w:t>Online learning resources and LMS-based academic access reduce dependence on physical campus attendance.</w:t>
      </w:r>
    </w:p>
    <w:p>
      <w:pPr>
        <w:pStyle w:val="Heading2"/>
      </w:pPr>
      <w:r>
        <w:t>Career Foundation</w:t>
      </w:r>
    </w:p>
    <w:p>
      <w:r>
        <w:rPr>
          <w:sz w:val="22"/>
        </w:rPr>
        <w:t>The BCA can serve as a foundation for entry-level IT roles as well as higher studies such as MCA, subject to the eligibility rules of the next institution.</w:t>
      </w:r>
    </w:p>
    <w:p>
      <w:pPr>
        <w:pStyle w:val="Heading1"/>
      </w:pPr>
      <w:r>
        <w:t>5. Shoolini University Online BCA Eligibility</w:t>
      </w:r>
    </w:p>
    <w:p>
      <w:r>
        <w:rPr>
          <w:sz w:val="22"/>
        </w:rPr>
        <w:t>For the online BCA route, the published program information states that candidates should have completed 10+2 or an equivalent examination in any stream from a recognised board, subject to the applicable admission rules for the academic session.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rPr>
              <w:t>Parameter</w:t>
            </w:r>
          </w:p>
        </w:tc>
        <w:tc>
          <w:tcPr>
            <w:tcW w:type="dxa" w:w="4968"/>
            <w:vAlign w:val="center"/>
            <w:shd w:fill="D9E2F3"/>
          </w:tcPr>
          <w:p>
            <w:r>
              <w:rPr>
                <w:b/>
              </w:rPr>
              <w:t>Eligibility</w:t>
            </w:r>
          </w:p>
        </w:tc>
      </w:tr>
      <w:tr>
        <w:tc>
          <w:tcPr>
            <w:tcW w:type="dxa" w:w="4968"/>
            <w:vAlign w:val="center"/>
          </w:tcPr>
          <w:p>
            <w:r>
              <w:t>Minimum qualification</w:t>
            </w:r>
          </w:p>
        </w:tc>
        <w:tc>
          <w:tcPr>
            <w:tcW w:type="dxa" w:w="4968"/>
            <w:vAlign w:val="center"/>
          </w:tcPr>
          <w:p>
            <w:r>
              <w:t>10+2 or equivalent</w:t>
            </w:r>
          </w:p>
        </w:tc>
      </w:tr>
      <w:tr>
        <w:tc>
          <w:tcPr>
            <w:tcW w:type="dxa" w:w="4968"/>
            <w:vAlign w:val="center"/>
          </w:tcPr>
          <w:p>
            <w:r>
              <w:t>Stream</w:t>
            </w:r>
          </w:p>
        </w:tc>
        <w:tc>
          <w:tcPr>
            <w:tcW w:type="dxa" w:w="4968"/>
            <w:vAlign w:val="center"/>
          </w:tcPr>
          <w:p>
            <w:r>
              <w:t>Any stream</w:t>
            </w:r>
          </w:p>
        </w:tc>
      </w:tr>
      <w:tr>
        <w:tc>
          <w:tcPr>
            <w:tcW w:type="dxa" w:w="4968"/>
            <w:vAlign w:val="center"/>
          </w:tcPr>
          <w:p>
            <w:r>
              <w:t>Recognition</w:t>
            </w:r>
          </w:p>
        </w:tc>
        <w:tc>
          <w:tcPr>
            <w:tcW w:type="dxa" w:w="4968"/>
            <w:vAlign w:val="center"/>
          </w:tcPr>
          <w:p>
            <w:r>
              <w:t>Recognised Board / University / Council</w:t>
            </w:r>
          </w:p>
        </w:tc>
      </w:tr>
      <w:tr>
        <w:tc>
          <w:tcPr>
            <w:tcW w:type="dxa" w:w="4968"/>
            <w:vAlign w:val="center"/>
          </w:tcPr>
          <w:p>
            <w:r>
              <w:t>Duration</w:t>
            </w:r>
          </w:p>
        </w:tc>
        <w:tc>
          <w:tcPr>
            <w:tcW w:type="dxa" w:w="4968"/>
            <w:vAlign w:val="center"/>
          </w:tcPr>
          <w:p>
            <w:r>
              <w:t>3 years / 6 semesters</w:t>
            </w:r>
          </w:p>
        </w:tc>
      </w:tr>
      <w:tr>
        <w:tc>
          <w:tcPr>
            <w:tcW w:type="dxa" w:w="4968"/>
            <w:vAlign w:val="center"/>
          </w:tcPr>
          <w:p>
            <w:r>
              <w:t>Important check</w:t>
            </w:r>
          </w:p>
        </w:tc>
        <w:tc>
          <w:tcPr>
            <w:tcW w:type="dxa" w:w="4968"/>
            <w:vAlign w:val="center"/>
          </w:tcPr>
          <w:p>
            <w:r>
              <w:t>Verify current-session admission requirements before application</w:t>
            </w:r>
          </w:p>
        </w:tc>
      </w:tr>
    </w:tbl>
    <w:p/>
    <w:p>
      <w:pPr>
        <w:pStyle w:val="Heading1"/>
      </w:pPr>
      <w:r>
        <w:t>6. Shoolini Online BCA Course Structure</w:t>
      </w:r>
    </w:p>
    <w:p>
      <w:r>
        <w:rPr>
          <w:sz w:val="22"/>
        </w:rPr>
        <w:t>The curriculum is designed to move from programming and analytical foundations to databases, operating systems, software engineering, Python, Java, cloud computing and project work. Open electives and subject-area electives add flexibility.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b/>
              </w:rPr>
              <w:t>Semester</w:t>
            </w:r>
          </w:p>
        </w:tc>
        <w:tc>
          <w:tcPr>
            <w:tcW w:type="dxa" w:w="3312"/>
            <w:vAlign w:val="center"/>
            <w:shd w:fill="D9E2F3"/>
          </w:tcPr>
          <w:p>
            <w:r>
              <w:rPr>
                <w:b/>
              </w:rPr>
              <w:t>Core Academic Areas</w:t>
            </w:r>
          </w:p>
        </w:tc>
        <w:tc>
          <w:tcPr>
            <w:tcW w:type="dxa" w:w="3312"/>
            <w:vAlign w:val="center"/>
            <w:shd w:fill="D9E2F3"/>
          </w:tcPr>
          <w:p>
            <w:r>
              <w:rPr>
                <w:b/>
              </w:rPr>
              <w:t>Learning Focus</w:t>
            </w:r>
          </w:p>
        </w:tc>
      </w:tr>
      <w:tr>
        <w:tc>
          <w:tcPr>
            <w:tcW w:type="dxa" w:w="3312"/>
            <w:vAlign w:val="center"/>
          </w:tcPr>
          <w:p>
            <w:r>
              <w:t>Semester 1</w:t>
            </w:r>
          </w:p>
        </w:tc>
        <w:tc>
          <w:tcPr>
            <w:tcW w:type="dxa" w:w="3312"/>
            <w:vAlign w:val="center"/>
          </w:tcPr>
          <w:p>
            <w:r>
              <w:t>Functional English 1; Problem Solving with Programming; Mathematics; Creativity Decoded; Open Electives; Fundamentals of Journalism; Principles of Management</w:t>
            </w:r>
          </w:p>
        </w:tc>
        <w:tc>
          <w:tcPr>
            <w:tcW w:type="dxa" w:w="3312"/>
            <w:vAlign w:val="center"/>
          </w:tcPr>
          <w:p>
            <w:r>
              <w:t>Programming foundation, quantitative thinking, communication and management</w:t>
            </w:r>
          </w:p>
        </w:tc>
      </w:tr>
      <w:tr>
        <w:tc>
          <w:tcPr>
            <w:tcW w:type="dxa" w:w="3312"/>
            <w:vAlign w:val="center"/>
          </w:tcPr>
          <w:p>
            <w:r>
              <w:t>Semester 2</w:t>
            </w:r>
          </w:p>
        </w:tc>
        <w:tc>
          <w:tcPr>
            <w:tcW w:type="dxa" w:w="3312"/>
            <w:vAlign w:val="center"/>
          </w:tcPr>
          <w:p>
            <w:r>
              <w:t>Entrepreneurship; Functional English 2; Data Structures with C; Web Technology; Open Electives; Presentations</w:t>
            </w:r>
          </w:p>
        </w:tc>
        <w:tc>
          <w:tcPr>
            <w:tcW w:type="dxa" w:w="3312"/>
            <w:vAlign w:val="center"/>
          </w:tcPr>
          <w:p>
            <w:r>
              <w:t>Data structures, web basics, communication and entrepreneurship</w:t>
            </w:r>
          </w:p>
        </w:tc>
      </w:tr>
      <w:tr>
        <w:tc>
          <w:tcPr>
            <w:tcW w:type="dxa" w:w="3312"/>
            <w:vAlign w:val="center"/>
          </w:tcPr>
          <w:p>
            <w:r>
              <w:t>Semester 3</w:t>
            </w:r>
          </w:p>
        </w:tc>
        <w:tc>
          <w:tcPr>
            <w:tcW w:type="dxa" w:w="3312"/>
            <w:vAlign w:val="center"/>
          </w:tcPr>
          <w:p>
            <w:r>
              <w:t>Acing Interviews with AI; Operating System; OOP with C++; Software Engineering; Open Electives; Critical Thinking; New Media</w:t>
            </w:r>
          </w:p>
        </w:tc>
        <w:tc>
          <w:tcPr>
            <w:tcW w:type="dxa" w:w="3312"/>
            <w:vAlign w:val="center"/>
          </w:tcPr>
          <w:p>
            <w:r>
              <w:t>Systems, object-oriented programming, software development and employability</w:t>
            </w:r>
          </w:p>
        </w:tc>
      </w:tr>
      <w:tr>
        <w:tc>
          <w:tcPr>
            <w:tcW w:type="dxa" w:w="3312"/>
            <w:vAlign w:val="center"/>
          </w:tcPr>
          <w:p>
            <w:r>
              <w:t>Semester 4</w:t>
            </w:r>
          </w:p>
        </w:tc>
        <w:tc>
          <w:tcPr>
            <w:tcW w:type="dxa" w:w="3312"/>
            <w:vAlign w:val="center"/>
          </w:tcPr>
          <w:p>
            <w:r>
              <w:t>DBMS; Python Programming; Digital Marketing; Organisational Behaviour; Open Electives; Advertising; Effective Negotiations</w:t>
            </w:r>
          </w:p>
        </w:tc>
        <w:tc>
          <w:tcPr>
            <w:tcW w:type="dxa" w:w="3312"/>
            <w:vAlign w:val="center"/>
          </w:tcPr>
          <w:p>
            <w:r>
              <w:t>Databases, Python, business understanding and communication</w:t>
            </w:r>
          </w:p>
        </w:tc>
      </w:tr>
      <w:tr>
        <w:tc>
          <w:tcPr>
            <w:tcW w:type="dxa" w:w="3312"/>
            <w:vAlign w:val="center"/>
          </w:tcPr>
          <w:p>
            <w:r>
              <w:t>Semester 5</w:t>
            </w:r>
          </w:p>
        </w:tc>
        <w:tc>
          <w:tcPr>
            <w:tcW w:type="dxa" w:w="3312"/>
            <w:vAlign w:val="center"/>
          </w:tcPr>
          <w:p>
            <w:r>
              <w:t>Java Programming; Subject Area Elective; Cloud Computing; Minor Project; Open Electives; Emotional Intelligence; Public Relations</w:t>
            </w:r>
          </w:p>
        </w:tc>
        <w:tc>
          <w:tcPr>
            <w:tcW w:type="dxa" w:w="3312"/>
            <w:vAlign w:val="center"/>
          </w:tcPr>
          <w:p>
            <w:r>
              <w:t>Java, cloud concepts, project experience and professional skills</w:t>
            </w:r>
          </w:p>
        </w:tc>
      </w:tr>
      <w:tr>
        <w:tc>
          <w:tcPr>
            <w:tcW w:type="dxa" w:w="3312"/>
            <w:vAlign w:val="center"/>
          </w:tcPr>
          <w:p>
            <w:r>
              <w:t>Semester 6</w:t>
            </w:r>
          </w:p>
        </w:tc>
        <w:tc>
          <w:tcPr>
            <w:tcW w:type="dxa" w:w="3312"/>
            <w:vAlign w:val="center"/>
          </w:tcPr>
          <w:p>
            <w:r>
              <w:t>Major Project; Project Management; Subject Area Electives; Open Elective; Corporate Communication; Stock Market &amp; Investment</w:t>
            </w:r>
          </w:p>
        </w:tc>
        <w:tc>
          <w:tcPr>
            <w:tcW w:type="dxa" w:w="3312"/>
            <w:vAlign w:val="center"/>
          </w:tcPr>
          <w:p>
            <w:r>
              <w:t>Capstone/project execution, management and professional readiness</w:t>
            </w:r>
          </w:p>
        </w:tc>
      </w:tr>
    </w:tbl>
    <w:p/>
    <w:p>
      <w:pPr>
        <w:pStyle w:val="Heading1"/>
      </w:pPr>
      <w:r>
        <w:t>7. What Will You Learn in Shoolini Online BCA?</w:t>
      </w:r>
    </w:p>
    <w:p>
      <w:pPr>
        <w:pStyle w:val="ListBullet"/>
      </w:pPr>
      <w:r>
        <w:t>Programming and problem-solving fundamentals</w:t>
      </w:r>
    </w:p>
    <w:p>
      <w:pPr>
        <w:pStyle w:val="ListBullet"/>
      </w:pPr>
      <w:r>
        <w:t>Data structures and algorithms</w:t>
      </w:r>
    </w:p>
    <w:p>
      <w:pPr>
        <w:pStyle w:val="ListBullet"/>
      </w:pPr>
      <w:r>
        <w:t>Object-oriented programming</w:t>
      </w:r>
    </w:p>
    <w:p>
      <w:pPr>
        <w:pStyle w:val="ListBullet"/>
      </w:pPr>
      <w:r>
        <w:t>Web technologies</w:t>
      </w:r>
    </w:p>
    <w:p>
      <w:pPr>
        <w:pStyle w:val="ListBullet"/>
      </w:pPr>
      <w:r>
        <w:t>Database management systems</w:t>
      </w:r>
    </w:p>
    <w:p>
      <w:pPr>
        <w:pStyle w:val="ListBullet"/>
      </w:pPr>
      <w:r>
        <w:t>Operating systems</w:t>
      </w:r>
    </w:p>
    <w:p>
      <w:pPr>
        <w:pStyle w:val="ListBullet"/>
      </w:pPr>
      <w:r>
        <w:t>Python and Java programming</w:t>
      </w:r>
    </w:p>
    <w:p>
      <w:pPr>
        <w:pStyle w:val="ListBullet"/>
      </w:pPr>
      <w:r>
        <w:t>Software engineering</w:t>
      </w:r>
    </w:p>
    <w:p>
      <w:pPr>
        <w:pStyle w:val="ListBullet"/>
      </w:pPr>
      <w:r>
        <w:t>Cloud computing</w:t>
      </w:r>
    </w:p>
    <w:p>
      <w:pPr>
        <w:pStyle w:val="ListBullet"/>
      </w:pPr>
      <w:r>
        <w:t>Project and professional communication skills</w:t>
      </w:r>
    </w:p>
    <w:p>
      <w:pPr>
        <w:pStyle w:val="Heading1"/>
      </w:pPr>
      <w:r>
        <w:t>8. How Online Classes Work</w:t>
      </w:r>
    </w:p>
    <w:p>
      <w:pPr>
        <w:pStyle w:val="ListBullet"/>
      </w:pPr>
      <w:r>
        <w:t>Live online academic sessions and interaction opportunities</w:t>
      </w:r>
    </w:p>
    <w:p>
      <w:pPr>
        <w:pStyle w:val="ListBullet"/>
      </w:pPr>
      <w:r>
        <w:t>Recorded/self-learning resources through the LMS</w:t>
      </w:r>
    </w:p>
    <w:p>
      <w:pPr>
        <w:pStyle w:val="ListBullet"/>
      </w:pPr>
      <w:r>
        <w:t>Digital study materials and course resources</w:t>
      </w:r>
    </w:p>
    <w:p>
      <w:pPr>
        <w:pStyle w:val="ListBullet"/>
      </w:pPr>
      <w:r>
        <w:t>Online assignments, quizzes and academic activities</w:t>
      </w:r>
    </w:p>
    <w:p>
      <w:pPr>
        <w:pStyle w:val="ListBullet"/>
      </w:pPr>
      <w:r>
        <w:t>Project-based learning and semester-wise assessments</w:t>
      </w:r>
    </w:p>
    <w:p>
      <w:pPr>
        <w:pStyle w:val="ListBullet"/>
      </w:pPr>
      <w:r>
        <w:t>Discussion and academic support through the digital learning environment</w:t>
      </w:r>
    </w:p>
    <w:p>
      <w:pPr>
        <w:pStyle w:val="Heading1"/>
      </w:pPr>
      <w:r>
        <w:t>9. Shoolini Online BCA Fees</w:t>
      </w:r>
    </w:p>
    <w:p>
      <w:r>
        <w:rPr>
          <w:sz w:val="22"/>
        </w:rPr>
        <w:t>The fee information supplied for the Online BCA indicates two Indian-student payment options. Because scholarships, offers and payment plans can change by admission cycle, the final payable amount should be confirmed on the current university admission portal before publication or enrolment.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b/>
              </w:rPr>
              <w:t>Fee Component</w:t>
            </w:r>
          </w:p>
        </w:tc>
        <w:tc>
          <w:tcPr>
            <w:tcW w:type="dxa" w:w="3312"/>
            <w:vAlign w:val="center"/>
            <w:shd w:fill="D9E2F3"/>
          </w:tcPr>
          <w:p>
            <w:r>
              <w:rPr>
                <w:b/>
              </w:rPr>
              <w:t>Pay After Placement</w:t>
            </w:r>
          </w:p>
        </w:tc>
        <w:tc>
          <w:tcPr>
            <w:tcW w:type="dxa" w:w="3312"/>
            <w:vAlign w:val="center"/>
            <w:shd w:fill="D9E2F3"/>
          </w:tcPr>
          <w:p>
            <w:r>
              <w:rPr>
                <w:b/>
              </w:rPr>
              <w:t>Standard BCA</w:t>
            </w:r>
          </w:p>
        </w:tc>
      </w:tr>
      <w:tr>
        <w:tc>
          <w:tcPr>
            <w:tcW w:type="dxa" w:w="3312"/>
            <w:vAlign w:val="center"/>
          </w:tcPr>
          <w:p>
            <w:r>
              <w:t>Application Fee</w:t>
            </w:r>
          </w:p>
        </w:tc>
        <w:tc>
          <w:tcPr>
            <w:tcW w:type="dxa" w:w="3312"/>
            <w:vAlign w:val="center"/>
          </w:tcPr>
          <w:p>
            <w:r>
              <w:t>₹500*</w:t>
            </w:r>
          </w:p>
        </w:tc>
        <w:tc>
          <w:tcPr>
            <w:tcW w:type="dxa" w:w="3312"/>
            <w:vAlign w:val="center"/>
          </w:tcPr>
          <w:p>
            <w:r>
              <w:t>₹500*</w:t>
            </w:r>
          </w:p>
        </w:tc>
      </w:tr>
      <w:tr>
        <w:tc>
          <w:tcPr>
            <w:tcW w:type="dxa" w:w="3312"/>
            <w:vAlign w:val="center"/>
          </w:tcPr>
          <w:p>
            <w:r>
              <w:t>Regular Fee</w:t>
            </w:r>
          </w:p>
        </w:tc>
        <w:tc>
          <w:tcPr>
            <w:tcW w:type="dxa" w:w="3312"/>
            <w:vAlign w:val="center"/>
          </w:tcPr>
          <w:p>
            <w:r>
              <w:t>₹1,20,000</w:t>
            </w:r>
          </w:p>
        </w:tc>
        <w:tc>
          <w:tcPr>
            <w:tcW w:type="dxa" w:w="3312"/>
            <w:vAlign w:val="center"/>
          </w:tcPr>
          <w:p>
            <w:r>
              <w:t>₹1,20,000</w:t>
            </w:r>
          </w:p>
        </w:tc>
      </w:tr>
      <w:tr>
        <w:tc>
          <w:tcPr>
            <w:tcW w:type="dxa" w:w="3312"/>
            <w:vAlign w:val="center"/>
          </w:tcPr>
          <w:p>
            <w:r>
              <w:t>Scholarship Amount</w:t>
            </w:r>
          </w:p>
        </w:tc>
        <w:tc>
          <w:tcPr>
            <w:tcW w:type="dxa" w:w="3312"/>
            <w:vAlign w:val="center"/>
          </w:tcPr>
          <w:p>
            <w:r>
              <w:t>₹13,500</w:t>
            </w:r>
          </w:p>
        </w:tc>
        <w:tc>
          <w:tcPr>
            <w:tcW w:type="dxa" w:w="3312"/>
            <w:vAlign w:val="center"/>
          </w:tcPr>
          <w:p>
            <w:r>
              <w:t>₹30,000</w:t>
            </w:r>
          </w:p>
        </w:tc>
      </w:tr>
      <w:tr>
        <w:tc>
          <w:tcPr>
            <w:tcW w:type="dxa" w:w="3312"/>
            <w:vAlign w:val="center"/>
          </w:tcPr>
          <w:p>
            <w:r>
              <w:t>Fee After Scholarship</w:t>
            </w:r>
          </w:p>
        </w:tc>
        <w:tc>
          <w:tcPr>
            <w:tcW w:type="dxa" w:w="3312"/>
            <w:vAlign w:val="center"/>
          </w:tcPr>
          <w:p>
            <w:r>
              <w:t>₹1,06,500</w:t>
            </w:r>
          </w:p>
        </w:tc>
        <w:tc>
          <w:tcPr>
            <w:tcW w:type="dxa" w:w="3312"/>
            <w:vAlign w:val="center"/>
          </w:tcPr>
          <w:p>
            <w:r>
              <w:t>₹90,000</w:t>
            </w:r>
          </w:p>
        </w:tc>
      </w:tr>
      <w:tr>
        <w:tc>
          <w:tcPr>
            <w:tcW w:type="dxa" w:w="3312"/>
            <w:vAlign w:val="center"/>
          </w:tcPr>
          <w:p>
            <w:r>
              <w:t>Fee per Semester</w:t>
            </w:r>
          </w:p>
        </w:tc>
        <w:tc>
          <w:tcPr>
            <w:tcW w:type="dxa" w:w="3312"/>
            <w:vAlign w:val="center"/>
          </w:tcPr>
          <w:p>
            <w:r>
              <w:t>₹14,200</w:t>
            </w:r>
          </w:p>
        </w:tc>
        <w:tc>
          <w:tcPr>
            <w:tcW w:type="dxa" w:w="3312"/>
            <w:vAlign w:val="center"/>
          </w:tcPr>
          <w:p>
            <w:r>
              <w:t>₹15,000</w:t>
            </w:r>
          </w:p>
        </w:tc>
      </w:tr>
      <w:tr>
        <w:tc>
          <w:tcPr>
            <w:tcW w:type="dxa" w:w="3312"/>
            <w:vAlign w:val="center"/>
          </w:tcPr>
          <w:p>
            <w:r>
              <w:t>Payable Before Placement</w:t>
            </w:r>
          </w:p>
        </w:tc>
        <w:tc>
          <w:tcPr>
            <w:tcW w:type="dxa" w:w="3312"/>
            <w:vAlign w:val="center"/>
          </w:tcPr>
          <w:p>
            <w:r>
              <w:t>₹85,200</w:t>
            </w:r>
          </w:p>
        </w:tc>
        <w:tc>
          <w:tcPr>
            <w:tcW w:type="dxa" w:w="3312"/>
            <w:vAlign w:val="center"/>
          </w:tcPr>
          <w:p>
            <w:r>
              <w:t>₹15,000 × 6</w:t>
            </w:r>
          </w:p>
        </w:tc>
      </w:tr>
      <w:tr>
        <w:tc>
          <w:tcPr>
            <w:tcW w:type="dxa" w:w="3312"/>
            <w:vAlign w:val="center"/>
          </w:tcPr>
          <w:p>
            <w:r>
              <w:t>Pay After Placement</w:t>
            </w:r>
          </w:p>
        </w:tc>
        <w:tc>
          <w:tcPr>
            <w:tcW w:type="dxa" w:w="3312"/>
            <w:vAlign w:val="center"/>
          </w:tcPr>
          <w:p>
            <w:r>
              <w:t>₹21,300</w:t>
            </w:r>
          </w:p>
        </w:tc>
        <w:tc>
          <w:tcPr>
            <w:tcW w:type="dxa" w:w="3312"/>
            <w:vAlign w:val="center"/>
          </w:tcPr>
          <w:p>
            <w:r>
              <w:t>Not applicable</w:t>
            </w:r>
          </w:p>
        </w:tc>
      </w:tr>
      <w:tr>
        <w:tc>
          <w:tcPr>
            <w:tcW w:type="dxa" w:w="3312"/>
            <w:vAlign w:val="center"/>
          </w:tcPr>
          <w:p>
            <w:r>
              <w:t>Merit Scholarship</w:t>
            </w:r>
          </w:p>
        </w:tc>
        <w:tc>
          <w:tcPr>
            <w:tcW w:type="dxa" w:w="3312"/>
            <w:vAlign w:val="center"/>
          </w:tcPr>
          <w:p>
            <w:r>
              <w:t>10% for &gt;90% in qualifying criteria</w:t>
            </w:r>
          </w:p>
        </w:tc>
        <w:tc>
          <w:tcPr>
            <w:tcW w:type="dxa" w:w="3312"/>
            <w:vAlign w:val="center"/>
          </w:tcPr>
          <w:p>
            <w:r>
              <w:t>10% for &gt;90% in qualifying criteria</w:t>
            </w:r>
          </w:p>
        </w:tc>
      </w:tr>
      <w:tr>
        <w:tc>
          <w:tcPr>
            <w:tcW w:type="dxa" w:w="3312"/>
            <w:vAlign w:val="center"/>
          </w:tcPr>
          <w:p>
            <w:r>
              <w:t>Other options</w:t>
            </w:r>
          </w:p>
        </w:tc>
        <w:tc>
          <w:tcPr>
            <w:tcW w:type="dxa" w:w="3312"/>
            <w:vAlign w:val="center"/>
          </w:tcPr>
          <w:p>
            <w:r>
              <w:t>10% one-time payment discount; 5% annual payment discount; EMI/loan options</w:t>
            </w:r>
          </w:p>
        </w:tc>
        <w:tc>
          <w:tcPr>
            <w:tcW w:type="dxa" w:w="3312"/>
            <w:vAlign w:val="center"/>
          </w:tcPr>
          <w:p>
            <w:r>
              <w:t>10% one-time payment discount; 5% annual payment discount; EMI/loan options</w:t>
            </w:r>
          </w:p>
        </w:tc>
      </w:tr>
    </w:tbl>
    <w:p/>
    <w:p>
      <w:r>
        <w:t>*Application fee is non-refundable. Fee figures should be treated as admission-cycle specific and rechecked before publication.</w:t>
      </w:r>
    </w:p>
    <w:p>
      <w:pPr>
        <w:pStyle w:val="Heading1"/>
      </w:pPr>
      <w:r>
        <w:t>10. International Online BCA Fee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2F3"/>
          </w:tcPr>
          <w:p>
            <w:r>
              <w:rPr>
                <w:b/>
              </w:rPr>
              <w:t>Region</w:t>
            </w:r>
          </w:p>
        </w:tc>
        <w:tc>
          <w:tcPr>
            <w:tcW w:type="dxa" w:w="1987"/>
            <w:vAlign w:val="center"/>
            <w:shd w:fill="D9E2F3"/>
          </w:tcPr>
          <w:p>
            <w:r>
              <w:rPr>
                <w:b/>
              </w:rPr>
              <w:t>Standard Fee</w:t>
            </w:r>
          </w:p>
        </w:tc>
        <w:tc>
          <w:tcPr>
            <w:tcW w:type="dxa" w:w="1987"/>
            <w:vAlign w:val="center"/>
            <w:shd w:fill="D9E2F3"/>
          </w:tcPr>
          <w:p>
            <w:r>
              <w:rPr>
                <w:b/>
              </w:rPr>
              <w:t>Scholarship</w:t>
            </w:r>
          </w:p>
        </w:tc>
        <w:tc>
          <w:tcPr>
            <w:tcW w:type="dxa" w:w="1987"/>
            <w:vAlign w:val="center"/>
            <w:shd w:fill="D9E2F3"/>
          </w:tcPr>
          <w:p>
            <w:r>
              <w:rPr>
                <w:b/>
              </w:rPr>
              <w:t>Fee After Scholarship</w:t>
            </w:r>
          </w:p>
        </w:tc>
        <w:tc>
          <w:tcPr>
            <w:tcW w:type="dxa" w:w="1987"/>
            <w:vAlign w:val="center"/>
            <w:shd w:fill="D9E2F3"/>
          </w:tcPr>
          <w:p>
            <w:r>
              <w:rPr>
                <w:b/>
              </w:rPr>
              <w:t>Per Semester</w:t>
            </w:r>
          </w:p>
        </w:tc>
      </w:tr>
      <w:tr>
        <w:tc>
          <w:tcPr>
            <w:tcW w:type="dxa" w:w="1987"/>
            <w:vAlign w:val="center"/>
          </w:tcPr>
          <w:p>
            <w:r>
              <w:t>Africa</w:t>
            </w:r>
          </w:p>
        </w:tc>
        <w:tc>
          <w:tcPr>
            <w:tcW w:type="dxa" w:w="1987"/>
            <w:vAlign w:val="center"/>
          </w:tcPr>
          <w:p>
            <w:r>
              <w:t>$2,500</w:t>
            </w:r>
          </w:p>
        </w:tc>
        <w:tc>
          <w:tcPr>
            <w:tcW w:type="dxa" w:w="1987"/>
            <w:vAlign w:val="center"/>
          </w:tcPr>
          <w:p>
            <w:r>
              <w:t>$1,000</w:t>
            </w:r>
          </w:p>
        </w:tc>
        <w:tc>
          <w:tcPr>
            <w:tcW w:type="dxa" w:w="1987"/>
            <w:vAlign w:val="center"/>
          </w:tcPr>
          <w:p>
            <w:r>
              <w:t>$1,500</w:t>
            </w:r>
          </w:p>
        </w:tc>
        <w:tc>
          <w:tcPr>
            <w:tcW w:type="dxa" w:w="1987"/>
            <w:vAlign w:val="center"/>
          </w:tcPr>
          <w:p>
            <w:r>
              <w:t>$250</w:t>
            </w:r>
          </w:p>
        </w:tc>
      </w:tr>
      <w:tr>
        <w:tc>
          <w:tcPr>
            <w:tcW w:type="dxa" w:w="1987"/>
            <w:vAlign w:val="center"/>
          </w:tcPr>
          <w:p>
            <w:r>
              <w:t>Other listed regions</w:t>
            </w:r>
          </w:p>
        </w:tc>
        <w:tc>
          <w:tcPr>
            <w:tcW w:type="dxa" w:w="1987"/>
            <w:vAlign w:val="center"/>
          </w:tcPr>
          <w:p>
            <w:r>
              <w:t>$2,000</w:t>
            </w:r>
          </w:p>
        </w:tc>
        <w:tc>
          <w:tcPr>
            <w:tcW w:type="dxa" w:w="1987"/>
            <w:vAlign w:val="center"/>
          </w:tcPr>
          <w:p>
            <w:r>
              <w:t>$500</w:t>
            </w:r>
          </w:p>
        </w:tc>
        <w:tc>
          <w:tcPr>
            <w:tcW w:type="dxa" w:w="1987"/>
            <w:vAlign w:val="center"/>
          </w:tcPr>
          <w:p>
            <w:r>
              <w:t>$1,500</w:t>
            </w:r>
          </w:p>
        </w:tc>
        <w:tc>
          <w:tcPr>
            <w:tcW w:type="dxa" w:w="1987"/>
            <w:vAlign w:val="center"/>
          </w:tcPr>
          <w:p>
            <w:r>
              <w:t>$250</w:t>
            </w:r>
          </w:p>
        </w:tc>
      </w:tr>
      <w:tr>
        <w:tc>
          <w:tcPr>
            <w:tcW w:type="dxa" w:w="1987"/>
            <w:vAlign w:val="center"/>
          </w:tcPr>
          <w:p>
            <w:r>
              <w:t>Application Fee</w:t>
            </w:r>
          </w:p>
        </w:tc>
        <w:tc>
          <w:tcPr>
            <w:tcW w:type="dxa" w:w="1987"/>
            <w:vAlign w:val="center"/>
          </w:tcPr>
          <w:p>
            <w:r>
              <w:t>$50</w:t>
            </w:r>
          </w:p>
        </w:tc>
        <w:tc>
          <w:tcPr>
            <w:tcW w:type="dxa" w:w="1987"/>
            <w:vAlign w:val="center"/>
          </w:tcPr>
          <w:p>
            <w:r>
              <w:t>—</w:t>
            </w:r>
          </w:p>
        </w:tc>
        <w:tc>
          <w:tcPr>
            <w:tcW w:type="dxa" w:w="1987"/>
            <w:vAlign w:val="center"/>
          </w:tcPr>
          <w:p>
            <w:r>
              <w:t>—</w:t>
            </w:r>
          </w:p>
        </w:tc>
        <w:tc>
          <w:tcPr>
            <w:tcW w:type="dxa" w:w="1987"/>
            <w:vAlign w:val="center"/>
          </w:tcPr>
          <w:p>
            <w:r>
              <w:t>—</w:t>
            </w:r>
          </w:p>
        </w:tc>
      </w:tr>
    </w:tbl>
    <w:p/>
    <w:p>
      <w:r>
        <w:t>International payment discounts and regional eligibility should be confirmed with the current admissions team.</w:t>
      </w:r>
    </w:p>
    <w:p>
      <w:pPr>
        <w:pStyle w:val="Heading1"/>
      </w:pPr>
      <w:r>
        <w:t>11. Scholarships and Financial Support</w:t>
      </w:r>
    </w:p>
    <w:p>
      <w:pPr>
        <w:pStyle w:val="ListBullet"/>
      </w:pPr>
      <w:r>
        <w:t>Merit-based scholarship opportunities for eligible high-performing students.</w:t>
      </w:r>
    </w:p>
    <w:p>
      <w:pPr>
        <w:pStyle w:val="ListBullet"/>
      </w:pPr>
      <w:r>
        <w:t>No-interest EMI and education-loan options may be available subject to terms.</w:t>
      </w:r>
    </w:p>
    <w:p>
      <w:pPr>
        <w:pStyle w:val="ListBullet"/>
      </w:pPr>
      <w:r>
        <w:t>One-time and annual payment discounts may apply during the relevant admission cycle.</w:t>
      </w:r>
    </w:p>
    <w:p>
      <w:pPr>
        <w:pStyle w:val="ListBullet"/>
      </w:pPr>
      <w:r>
        <w:t>The exact scholarship percentage and payment benefit should be confirmed before enrolment.</w:t>
      </w:r>
    </w:p>
    <w:p>
      <w:pPr>
        <w:pStyle w:val="Heading1"/>
      </w:pPr>
      <w:r>
        <w:t>12. Shoolini Online BCA Admission Process</w:t>
      </w:r>
    </w:p>
    <w:p>
      <w:pPr>
        <w:pStyle w:val="Heading2"/>
      </w:pPr>
      <w:r>
        <w:t>Step 1: Explore the Program</w:t>
      </w:r>
    </w:p>
    <w:p>
      <w:r>
        <w:rPr>
          <w:sz w:val="22"/>
        </w:rPr>
        <w:t>Review curriculum, eligibility, fees, learning model and career objectives.</w:t>
      </w:r>
    </w:p>
    <w:p>
      <w:pPr>
        <w:pStyle w:val="Heading2"/>
      </w:pPr>
      <w:r>
        <w:t>Step 2: Register and Apply</w:t>
      </w:r>
    </w:p>
    <w:p>
      <w:r>
        <w:rPr>
          <w:sz w:val="22"/>
        </w:rPr>
        <w:t>Create an application and submit personal and academic information.</w:t>
      </w:r>
    </w:p>
    <w:p>
      <w:pPr>
        <w:pStyle w:val="Heading2"/>
      </w:pPr>
      <w:r>
        <w:t>Step 3: Upload Documents</w:t>
      </w:r>
    </w:p>
    <w:p>
      <w:r>
        <w:rPr>
          <w:sz w:val="22"/>
        </w:rPr>
        <w:t>Provide the required academic, identity and supporting documents.</w:t>
      </w:r>
    </w:p>
    <w:p>
      <w:pPr>
        <w:pStyle w:val="Heading2"/>
      </w:pPr>
      <w:r>
        <w:t>Step 4: Pay the Application Fee</w:t>
      </w:r>
    </w:p>
    <w:p>
      <w:r>
        <w:rPr>
          <w:sz w:val="22"/>
        </w:rPr>
        <w:t>Complete the applicable online payment.</w:t>
      </w:r>
    </w:p>
    <w:p>
      <w:pPr>
        <w:pStyle w:val="Heading2"/>
      </w:pPr>
      <w:r>
        <w:t>Step 5: Document Verification</w:t>
      </w:r>
    </w:p>
    <w:p>
      <w:r>
        <w:rPr>
          <w:sz w:val="22"/>
        </w:rPr>
        <w:t>The university verifies submitted information and eligibility.</w:t>
      </w:r>
    </w:p>
    <w:p>
      <w:pPr>
        <w:pStyle w:val="Heading2"/>
      </w:pPr>
      <w:r>
        <w:t>Step 6: Admission Confirmation</w:t>
      </w:r>
    </w:p>
    <w:p>
      <w:r>
        <w:rPr>
          <w:sz w:val="22"/>
        </w:rPr>
        <w:t>After successful verification, admission confirmation and portal access are provided.</w:t>
      </w:r>
    </w:p>
    <w:p>
      <w:pPr>
        <w:pStyle w:val="Heading2"/>
      </w:pPr>
      <w:r>
        <w:t>Step 7: Start Learning</w:t>
      </w:r>
    </w:p>
    <w:p>
      <w:r>
        <w:rPr>
          <w:sz w:val="22"/>
        </w:rPr>
        <w:t>Attend orientation, access the LMS and begin the semester modules.</w:t>
      </w:r>
    </w:p>
    <w:p>
      <w:pPr>
        <w:pStyle w:val="Heading1"/>
      </w:pPr>
      <w:r>
        <w:t>13. Career Opportunities After Online BCA</w:t>
      </w:r>
    </w:p>
    <w:p>
      <w:r>
        <w:rPr>
          <w:sz w:val="22"/>
        </w:rPr>
        <w:t>A BCA is primarily a foundation-level technology degree. Career outcomes depend on technical skill, projects, internships, communication, portfolio quality and market demand. Graduates can target entry-level opportunities across software, web, support, databases and systems.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rPr>
              <w:t>Career Area</w:t>
            </w:r>
          </w:p>
        </w:tc>
        <w:tc>
          <w:tcPr>
            <w:tcW w:type="dxa" w:w="4968"/>
            <w:vAlign w:val="center"/>
            <w:shd w:fill="D9E2F3"/>
          </w:tcPr>
          <w:p>
            <w:r>
              <w:rPr>
                <w:b/>
              </w:rPr>
              <w:t>Possible Roles</w:t>
            </w:r>
          </w:p>
        </w:tc>
      </w:tr>
      <w:tr>
        <w:tc>
          <w:tcPr>
            <w:tcW w:type="dxa" w:w="4968"/>
            <w:vAlign w:val="center"/>
          </w:tcPr>
          <w:p>
            <w:r>
              <w:t>Software Development</w:t>
            </w:r>
          </w:p>
        </w:tc>
        <w:tc>
          <w:tcPr>
            <w:tcW w:type="dxa" w:w="4968"/>
            <w:vAlign w:val="center"/>
          </w:tcPr>
          <w:p>
            <w:r>
              <w:t>Junior Software Developer, Application Developer</w:t>
            </w:r>
          </w:p>
        </w:tc>
      </w:tr>
      <w:tr>
        <w:tc>
          <w:tcPr>
            <w:tcW w:type="dxa" w:w="4968"/>
            <w:vAlign w:val="center"/>
          </w:tcPr>
          <w:p>
            <w:r>
              <w:t>Web Development</w:t>
            </w:r>
          </w:p>
        </w:tc>
        <w:tc>
          <w:tcPr>
            <w:tcW w:type="dxa" w:w="4968"/>
            <w:vAlign w:val="center"/>
          </w:tcPr>
          <w:p>
            <w:r>
              <w:t>Web Developer, Front-End Developer</w:t>
            </w:r>
          </w:p>
        </w:tc>
      </w:tr>
      <w:tr>
        <w:tc>
          <w:tcPr>
            <w:tcW w:type="dxa" w:w="4968"/>
            <w:vAlign w:val="center"/>
          </w:tcPr>
          <w:p>
            <w:r>
              <w:t>Database &amp; Systems</w:t>
            </w:r>
          </w:p>
        </w:tc>
        <w:tc>
          <w:tcPr>
            <w:tcW w:type="dxa" w:w="4968"/>
            <w:vAlign w:val="center"/>
          </w:tcPr>
          <w:p>
            <w:r>
              <w:t>Database Support Executive, System Support Associate</w:t>
            </w:r>
          </w:p>
        </w:tc>
      </w:tr>
      <w:tr>
        <w:tc>
          <w:tcPr>
            <w:tcW w:type="dxa" w:w="4968"/>
            <w:vAlign w:val="center"/>
          </w:tcPr>
          <w:p>
            <w:r>
              <w:t>IT Support</w:t>
            </w:r>
          </w:p>
        </w:tc>
        <w:tc>
          <w:tcPr>
            <w:tcW w:type="dxa" w:w="4968"/>
            <w:vAlign w:val="center"/>
          </w:tcPr>
          <w:p>
            <w:r>
              <w:t>Technical Support Executive, IT Support Associate</w:t>
            </w:r>
          </w:p>
        </w:tc>
      </w:tr>
      <w:tr>
        <w:tc>
          <w:tcPr>
            <w:tcW w:type="dxa" w:w="4968"/>
            <w:vAlign w:val="center"/>
          </w:tcPr>
          <w:p>
            <w:r>
              <w:t>Analysis &amp; Operations</w:t>
            </w:r>
          </w:p>
        </w:tc>
        <w:tc>
          <w:tcPr>
            <w:tcW w:type="dxa" w:w="4968"/>
            <w:vAlign w:val="center"/>
          </w:tcPr>
          <w:p>
            <w:r>
              <w:t>Junior System Analyst, Operations/Technology Associate</w:t>
            </w:r>
          </w:p>
        </w:tc>
      </w:tr>
      <w:tr>
        <w:tc>
          <w:tcPr>
            <w:tcW w:type="dxa" w:w="4968"/>
            <w:vAlign w:val="center"/>
          </w:tcPr>
          <w:p>
            <w:r>
              <w:t>Further Education</w:t>
            </w:r>
          </w:p>
        </w:tc>
        <w:tc>
          <w:tcPr>
            <w:tcW w:type="dxa" w:w="4968"/>
            <w:vAlign w:val="center"/>
          </w:tcPr>
          <w:p>
            <w:r>
              <w:t>MCA, specialised certifications or other eligible postgraduate programs</w:t>
            </w:r>
          </w:p>
        </w:tc>
      </w:tr>
    </w:tbl>
    <w:p/>
    <w:p>
      <w:pPr>
        <w:pStyle w:val="Heading1"/>
      </w:pPr>
      <w:r>
        <w:t>14. Placement and Career Support</w:t>
      </w:r>
    </w:p>
    <w:p>
      <w:r>
        <w:rPr>
          <w:sz w:val="22"/>
        </w:rPr>
        <w:t>For online learners, career support is generally different from the campus placement experience. The supplied program information highlights internship guidance, resume support, mock interviews and career guidance. These services can help students become job-ready, but students should distinguish placement assistance from a guaranteed job or salary outcome.</w:t>
      </w:r>
    </w:p>
    <w:p>
      <w:pPr>
        <w:pStyle w:val="ListBullet"/>
      </w:pPr>
      <w:r>
        <w:t>Internship and career guidance</w:t>
      </w:r>
    </w:p>
    <w:p>
      <w:pPr>
        <w:pStyle w:val="ListBullet"/>
      </w:pPr>
      <w:r>
        <w:t>Resume-building support</w:t>
      </w:r>
    </w:p>
    <w:p>
      <w:pPr>
        <w:pStyle w:val="ListBullet"/>
      </w:pPr>
      <w:r>
        <w:t>Mock interviews and interview preparation</w:t>
      </w:r>
    </w:p>
    <w:p>
      <w:pPr>
        <w:pStyle w:val="ListBullet"/>
      </w:pPr>
      <w:r>
        <w:t>Career-oriented mentoring and industry exposure</w:t>
      </w:r>
    </w:p>
    <w:p>
      <w:pPr>
        <w:pStyle w:val="Heading1"/>
      </w:pPr>
      <w:r>
        <w:t>15. Advantages and Potential Limitations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rPr>
              <w:t>Advantages</w:t>
            </w:r>
          </w:p>
        </w:tc>
        <w:tc>
          <w:tcPr>
            <w:tcW w:type="dxa" w:w="4968"/>
            <w:vAlign w:val="center"/>
            <w:shd w:fill="D9E2F3"/>
          </w:tcPr>
          <w:p>
            <w:r>
              <w:rPr>
                <w:b/>
              </w:rPr>
              <w:t>Potential Limitations</w:t>
            </w:r>
          </w:p>
        </w:tc>
      </w:tr>
      <w:tr>
        <w:tc>
          <w:tcPr>
            <w:tcW w:type="dxa" w:w="4968"/>
            <w:vAlign w:val="center"/>
          </w:tcPr>
          <w:p>
            <w:r>
              <w:t>Study without relocating to campus</w:t>
            </w:r>
          </w:p>
        </w:tc>
        <w:tc>
          <w:tcPr>
            <w:tcW w:type="dxa" w:w="4968"/>
            <w:vAlign w:val="center"/>
          </w:tcPr>
          <w:p>
            <w:r>
              <w:t>Less face-to-face peer interaction</w:t>
            </w:r>
          </w:p>
        </w:tc>
      </w:tr>
      <w:tr>
        <w:tc>
          <w:tcPr>
            <w:tcW w:type="dxa" w:w="4968"/>
            <w:vAlign w:val="center"/>
          </w:tcPr>
          <w:p>
            <w:r>
              <w:t>Flexible digital access</w:t>
            </w:r>
          </w:p>
        </w:tc>
        <w:tc>
          <w:tcPr>
            <w:tcW w:type="dxa" w:w="4968"/>
            <w:vAlign w:val="center"/>
          </w:tcPr>
          <w:p>
            <w:r>
              <w:t>Requires self-discipline and time management</w:t>
            </w:r>
          </w:p>
        </w:tc>
      </w:tr>
      <w:tr>
        <w:tc>
          <w:tcPr>
            <w:tcW w:type="dxa" w:w="4968"/>
            <w:vAlign w:val="center"/>
          </w:tcPr>
          <w:p>
            <w:r>
              <w:t>Lower living/commuting costs</w:t>
            </w:r>
          </w:p>
        </w:tc>
        <w:tc>
          <w:tcPr>
            <w:tcW w:type="dxa" w:w="4968"/>
            <w:vAlign w:val="center"/>
          </w:tcPr>
          <w:p>
            <w:r>
              <w:t>Requires reliable internet and suitable device</w:t>
            </w:r>
          </w:p>
        </w:tc>
      </w:tr>
      <w:tr>
        <w:tc>
          <w:tcPr>
            <w:tcW w:type="dxa" w:w="4968"/>
            <w:vAlign w:val="center"/>
          </w:tcPr>
          <w:p>
            <w:r>
              <w:t>Technology-focused curriculum</w:t>
            </w:r>
          </w:p>
        </w:tc>
        <w:tc>
          <w:tcPr>
            <w:tcW w:type="dxa" w:w="4968"/>
            <w:vAlign w:val="center"/>
          </w:tcPr>
          <w:p>
            <w:r>
              <w:t>Practical depth depends heavily on personal projects and practice</w:t>
            </w:r>
          </w:p>
        </w:tc>
      </w:tr>
      <w:tr>
        <w:tc>
          <w:tcPr>
            <w:tcW w:type="dxa" w:w="4968"/>
            <w:vAlign w:val="center"/>
          </w:tcPr>
          <w:p>
            <w:r>
              <w:t>Can support working learners</w:t>
            </w:r>
          </w:p>
        </w:tc>
        <w:tc>
          <w:tcPr>
            <w:tcW w:type="dxa" w:w="4968"/>
            <w:vAlign w:val="center"/>
          </w:tcPr>
          <w:p>
            <w:r>
              <w:t>Some roles may still value experience, internships and portfolios more than the degree alone</w:t>
            </w:r>
          </w:p>
        </w:tc>
      </w:tr>
    </w:tbl>
    <w:p/>
    <w:p>
      <w:pPr>
        <w:pStyle w:val="Heading1"/>
      </w:pPr>
      <w:r>
        <w:t>16. Online BCA vs Traditional BCA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b/>
              </w:rPr>
              <w:t>Aspect</w:t>
            </w:r>
          </w:p>
        </w:tc>
        <w:tc>
          <w:tcPr>
            <w:tcW w:type="dxa" w:w="3312"/>
            <w:vAlign w:val="center"/>
            <w:shd w:fill="D9E2F3"/>
          </w:tcPr>
          <w:p>
            <w:r>
              <w:rPr>
                <w:b/>
              </w:rPr>
              <w:t>Online BCA</w:t>
            </w:r>
          </w:p>
        </w:tc>
        <w:tc>
          <w:tcPr>
            <w:tcW w:type="dxa" w:w="3312"/>
            <w:vAlign w:val="center"/>
            <w:shd w:fill="D9E2F3"/>
          </w:tcPr>
          <w:p>
            <w:r>
              <w:rPr>
                <w:b/>
              </w:rPr>
              <w:t>Traditional BCA</w:t>
            </w:r>
          </w:p>
        </w:tc>
      </w:tr>
      <w:tr>
        <w:tc>
          <w:tcPr>
            <w:tcW w:type="dxa" w:w="3312"/>
            <w:vAlign w:val="center"/>
          </w:tcPr>
          <w:p>
            <w:r>
              <w:t>Learning Flexibility</w:t>
            </w:r>
          </w:p>
        </w:tc>
        <w:tc>
          <w:tcPr>
            <w:tcW w:type="dxa" w:w="3312"/>
            <w:vAlign w:val="center"/>
          </w:tcPr>
          <w:p>
            <w:r>
              <w:t>High</w:t>
            </w:r>
          </w:p>
        </w:tc>
        <w:tc>
          <w:tcPr>
            <w:tcW w:type="dxa" w:w="3312"/>
            <w:vAlign w:val="center"/>
          </w:tcPr>
          <w:p>
            <w:r>
              <w:t>Moderate</w:t>
            </w:r>
          </w:p>
        </w:tc>
      </w:tr>
      <w:tr>
        <w:tc>
          <w:tcPr>
            <w:tcW w:type="dxa" w:w="3312"/>
            <w:vAlign w:val="center"/>
          </w:tcPr>
          <w:p>
            <w:r>
              <w:t>Location</w:t>
            </w:r>
          </w:p>
        </w:tc>
        <w:tc>
          <w:tcPr>
            <w:tcW w:type="dxa" w:w="3312"/>
            <w:vAlign w:val="center"/>
          </w:tcPr>
          <w:p>
            <w:r>
              <w:t>Remote</w:t>
            </w:r>
          </w:p>
        </w:tc>
        <w:tc>
          <w:tcPr>
            <w:tcW w:type="dxa" w:w="3312"/>
            <w:vAlign w:val="center"/>
          </w:tcPr>
          <w:p>
            <w:r>
              <w:t>Campus-based</w:t>
            </w:r>
          </w:p>
        </w:tc>
      </w:tr>
      <w:tr>
        <w:tc>
          <w:tcPr>
            <w:tcW w:type="dxa" w:w="3312"/>
            <w:vAlign w:val="center"/>
          </w:tcPr>
          <w:p>
            <w:r>
              <w:t>Campus Networking</w:t>
            </w:r>
          </w:p>
        </w:tc>
        <w:tc>
          <w:tcPr>
            <w:tcW w:type="dxa" w:w="3312"/>
            <w:vAlign w:val="center"/>
          </w:tcPr>
          <w:p>
            <w:r>
              <w:t>Limited</w:t>
            </w:r>
          </w:p>
        </w:tc>
        <w:tc>
          <w:tcPr>
            <w:tcW w:type="dxa" w:w="3312"/>
            <w:vAlign w:val="center"/>
          </w:tcPr>
          <w:p>
            <w:r>
              <w:t>Higher</w:t>
            </w:r>
          </w:p>
        </w:tc>
      </w:tr>
      <w:tr>
        <w:tc>
          <w:tcPr>
            <w:tcW w:type="dxa" w:w="3312"/>
            <w:vAlign w:val="center"/>
          </w:tcPr>
          <w:p>
            <w:r>
              <w:t>Living/Travel Cost</w:t>
            </w:r>
          </w:p>
        </w:tc>
        <w:tc>
          <w:tcPr>
            <w:tcW w:type="dxa" w:w="3312"/>
            <w:vAlign w:val="center"/>
          </w:tcPr>
          <w:p>
            <w:r>
              <w:t>Generally lower</w:t>
            </w:r>
          </w:p>
        </w:tc>
        <w:tc>
          <w:tcPr>
            <w:tcW w:type="dxa" w:w="3312"/>
            <w:vAlign w:val="center"/>
          </w:tcPr>
          <w:p>
            <w:r>
              <w:t>Potentially higher</w:t>
            </w:r>
          </w:p>
        </w:tc>
      </w:tr>
      <w:tr>
        <w:tc>
          <w:tcPr>
            <w:tcW w:type="dxa" w:w="3312"/>
            <w:vAlign w:val="center"/>
          </w:tcPr>
          <w:p>
            <w:r>
              <w:t>Self-Management</w:t>
            </w:r>
          </w:p>
        </w:tc>
        <w:tc>
          <w:tcPr>
            <w:tcW w:type="dxa" w:w="3312"/>
            <w:vAlign w:val="center"/>
          </w:tcPr>
          <w:p>
            <w:r>
              <w:t>High requirement</w:t>
            </w:r>
          </w:p>
        </w:tc>
        <w:tc>
          <w:tcPr>
            <w:tcW w:type="dxa" w:w="3312"/>
            <w:vAlign w:val="center"/>
          </w:tcPr>
          <w:p>
            <w:r>
              <w:t>Moderate</w:t>
            </w:r>
          </w:p>
        </w:tc>
      </w:tr>
      <w:tr>
        <w:tc>
          <w:tcPr>
            <w:tcW w:type="dxa" w:w="3312"/>
            <w:vAlign w:val="center"/>
          </w:tcPr>
          <w:p>
            <w:r>
              <w:t>Degree Recognition</w:t>
            </w:r>
          </w:p>
        </w:tc>
        <w:tc>
          <w:tcPr>
            <w:tcW w:type="dxa" w:w="3312"/>
            <w:vAlign w:val="center"/>
          </w:tcPr>
          <w:p>
            <w:r>
              <w:t>Depends on valid UGC entitlement/program compliance</w:t>
            </w:r>
          </w:p>
        </w:tc>
        <w:tc>
          <w:tcPr>
            <w:tcW w:type="dxa" w:w="3312"/>
            <w:vAlign w:val="center"/>
          </w:tcPr>
          <w:p>
            <w:r>
              <w:t>Conventional degree route</w:t>
            </w:r>
          </w:p>
        </w:tc>
      </w:tr>
    </w:tbl>
    <w:p/>
    <w:p>
      <w:pPr>
        <w:pStyle w:val="Heading1"/>
      </w:pPr>
      <w:r>
        <w:t>17. Who Should Choose Shoolini Online BCA?</w:t>
      </w:r>
    </w:p>
    <w:p>
      <w:pPr>
        <w:pStyle w:val="ListBullet"/>
      </w:pPr>
      <w:r>
        <w:t>Students seeking a flexible undergraduate route into IT and computer applications.</w:t>
      </w:r>
    </w:p>
    <w:p>
      <w:pPr>
        <w:pStyle w:val="ListBullet"/>
      </w:pPr>
      <w:r>
        <w:t>Learners who want to study from home or alongside other responsibilities.</w:t>
      </w:r>
    </w:p>
    <w:p>
      <w:pPr>
        <w:pStyle w:val="ListBullet"/>
      </w:pPr>
      <w:r>
        <w:t>Students interested in programming, web development, databases and software careers.</w:t>
      </w:r>
    </w:p>
    <w:p>
      <w:pPr>
        <w:pStyle w:val="ListBullet"/>
      </w:pPr>
      <w:r>
        <w:t>Learners planning to build a stronger technical profile through projects, internships and certifications.</w:t>
      </w:r>
    </w:p>
    <w:p>
      <w:pPr>
        <w:pStyle w:val="ListBullet"/>
      </w:pPr>
      <w:r>
        <w:t>Students considering higher education such as MCA after completing BCA, subject to future eligibility.</w:t>
      </w:r>
    </w:p>
    <w:p>
      <w:pPr>
        <w:pStyle w:val="Heading1"/>
      </w:pPr>
      <w:r>
        <w:t>18. Is Shoolini Online BCA Worth It?</w:t>
      </w:r>
    </w:p>
    <w:p>
      <w:r>
        <w:rPr>
          <w:sz w:val="22"/>
        </w:rPr>
        <w:t>Shoolini Online BCA can be a practical option for students who prioritise flexibility, structured computing education and a recognised university degree. Its value is strongest when the learner uses the three-year period to build programming ability, real projects, internships, communication skills and a visible portfolio. The degree should be evaluated alongside the latest fee, eligibility, online-program entitlement and career-support terms rather than on marketing claims alone.</w:t>
      </w:r>
    </w:p>
    <w:p>
      <w:pPr>
        <w:pStyle w:val="Heading1"/>
      </w:pPr>
      <w:r>
        <w:t>19. Conclusion</w:t>
      </w:r>
    </w:p>
    <w:p>
      <w:r>
        <w:rPr>
          <w:sz w:val="22"/>
        </w:rPr>
        <w:t>Shoolini University Online BCA offers a flexible pathway into computer applications and IT through a three-year online learning model. The curriculum combines programming, databases, web technologies, software engineering, operating systems, Python, Java, cloud computing and project work. For learners who need flexibility and are prepared to be self-directed, the program can provide a useful academic foundation for entry-level technology careers and further study.</w:t>
      </w:r>
    </w:p>
    <w:p>
      <w:r>
        <w:rPr>
          <w:sz w:val="22"/>
        </w:rPr>
        <w:t>Before applying, students should verify the latest admission-cycle fee, scholarship, eligibility, online entitlement, assessment rules and career-support terms from the university’s current official information.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