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Shoolini University Online BCom (Honours) – Vendor-Ready SEO Content File</w:t>
      </w:r>
    </w:p>
    <w:p>
      <w:r>
        <w:t>Content type: University + Course Pillar Blog | Course: Online BCom (Honours) | Academic focus: 2026</w:t>
      </w:r>
    </w:p>
    <w:p>
      <w:r>
        <w:t>Editorial direction: One connected pillar page covering course overview, recognition, eligibility, fees, curriculum, learning model, admission, career outcomes and decision-making intent.</w:t>
      </w:r>
    </w:p>
    <w:p>
      <w:pPr>
        <w:pStyle w:val="Heading1"/>
      </w:pPr>
      <w:r>
        <w:t>1. Introduction to Shoolini University Online BCom (Honours)</w:t>
      </w:r>
    </w:p>
    <w:p>
      <w:r>
        <w:rPr>
          <w:sz w:val="22"/>
        </w:rPr>
        <w:t>Shoolini University Online BCom (Honours) is a three-year undergraduate commerce program designed for learners who want structured education in accounting, finance, business, taxation and management while retaining the flexibility of online study. The program is positioned for students who want to build a commerce foundation and develop business-oriented analytical, communication and decision-making skills without following a conventional campus timetable.</w:t>
      </w:r>
    </w:p>
    <w:p>
      <w:r>
        <w:rPr>
          <w:sz w:val="22"/>
        </w:rPr>
        <w:t>The online BCom content is designed around core commerce subjects, business applications and professional skills. This page brings together the key information a prospective learner typically needs before applying, including recognition, eligibility, fee structure, curriculum, learning experience, admission process, career scope and the practical advantages and limitations of online BCom education.</w:t>
      </w:r>
    </w:p>
    <w:p>
      <w:pPr>
        <w:pStyle w:val="Heading1"/>
      </w:pPr>
      <w:r>
        <w:t>2. About Shoolini University Online</w:t>
      </w:r>
    </w:p>
    <w:p>
      <w:r>
        <w:rPr>
          <w:sz w:val="22"/>
        </w:rPr>
        <w:t>Shoolini University is a private university established in Himachal Pradesh in 2009. Its online education ecosystem is operated through the Centre for Distance and Online Education. The university combines academic programs with a digital learning model intended to serve learners beyond the physical campus.</w:t>
      </w:r>
    </w:p>
    <w:p>
      <w:pPr>
        <w:pStyle w:val="ListBullet"/>
      </w:pPr>
      <w:r>
        <w:t>Established in 2009 under the Government of Himachal Pradesh framework.</w:t>
      </w:r>
    </w:p>
    <w:p>
      <w:pPr>
        <w:pStyle w:val="ListBullet"/>
      </w:pPr>
      <w:r>
        <w:t>UGC-recognised university under Section 2(f).</w:t>
      </w:r>
    </w:p>
    <w:p>
      <w:pPr>
        <w:pStyle w:val="ListBullet"/>
      </w:pPr>
      <w:r>
        <w:t>NAAC A+ accredited; the university states the accreditation was awarded in November 2024 and is valid through November 2029.</w:t>
      </w:r>
    </w:p>
    <w:p>
      <w:pPr>
        <w:pStyle w:val="ListBullet"/>
      </w:pPr>
      <w:r>
        <w:t>ISO 9001:2015 certification is listed by the university.</w:t>
      </w:r>
    </w:p>
    <w:p>
      <w:pPr>
        <w:pStyle w:val="ListBullet"/>
      </w:pPr>
      <w:r>
        <w:t>Dedicated online/distance education infrastructure through SCDOE.</w:t>
      </w:r>
    </w:p>
    <w:p>
      <w:pPr>
        <w:pStyle w:val="Heading1"/>
      </w:pPr>
      <w:r>
        <w:t>3. Recognition of Shoolini Online BCom</w:t>
      </w:r>
    </w:p>
    <w:p>
      <w:r>
        <w:rPr>
          <w:sz w:val="22"/>
        </w:rPr>
        <w:t>The online BCom (Honours) program is presented by Shoolini’s online education platform as a UGC-entitled online degree. For an SEO page intended for publication, recognition claims should be kept tied to the applicable academic session and verified against the latest UGC and university disclosures before the page goes live.</w:t>
      </w:r>
    </w:p>
    <w:p>
      <w:pPr>
        <w:pStyle w:val="ListBullet"/>
      </w:pPr>
      <w:r>
        <w:t>UGC-recognised university.</w:t>
      </w:r>
    </w:p>
    <w:p>
      <w:pPr>
        <w:pStyle w:val="ListBullet"/>
      </w:pPr>
      <w:r>
        <w:t>Online BCom (Honours) is presented as an online-entitled program for the relevant academic cycle.</w:t>
      </w:r>
    </w:p>
    <w:p>
      <w:pPr>
        <w:pStyle w:val="ListBullet"/>
      </w:pPr>
      <w:r>
        <w:t>NAAC A+ institutional accreditation.</w:t>
      </w:r>
    </w:p>
    <w:p>
      <w:pPr>
        <w:pStyle w:val="ListBullet"/>
      </w:pPr>
      <w:r>
        <w:t>Online degree equivalence is subject to applicable UGC regulations and program compliance.</w:t>
      </w:r>
    </w:p>
    <w:p>
      <w:pPr>
        <w:pStyle w:val="Heading1"/>
      </w:pPr>
      <w:r>
        <w:t>4. Why Choose Shoolini University Online BCom (Honours)?</w:t>
      </w:r>
    </w:p>
    <w:p>
      <w:pPr>
        <w:pStyle w:val="Heading2"/>
      </w:pPr>
      <w:r>
        <w:t>Commerce-Focused Curriculum</w:t>
      </w:r>
    </w:p>
    <w:p>
      <w:r>
        <w:rPr>
          <w:sz w:val="22"/>
        </w:rPr>
        <w:t>The program develops understanding of accounting, economics, business law, taxation, finance, marketing and management.</w:t>
      </w:r>
    </w:p>
    <w:p>
      <w:pPr>
        <w:pStyle w:val="Heading2"/>
      </w:pPr>
      <w:r>
        <w:t>Online Flexibility</w:t>
      </w:r>
    </w:p>
    <w:p>
      <w:r>
        <w:rPr>
          <w:sz w:val="22"/>
        </w:rPr>
        <w:t>Learners can study without relocating to a physical campus, making the format suitable for students with location or schedule constraints.</w:t>
      </w:r>
    </w:p>
    <w:p>
      <w:pPr>
        <w:pStyle w:val="Heading2"/>
      </w:pPr>
      <w:r>
        <w:t>Professional Skills</w:t>
      </w:r>
    </w:p>
    <w:p>
      <w:r>
        <w:rPr>
          <w:sz w:val="22"/>
        </w:rPr>
        <w:t>Communication, presentations, negotiation, entrepreneurship and business analysis complement the commerce subjects.</w:t>
      </w:r>
    </w:p>
    <w:p>
      <w:pPr>
        <w:pStyle w:val="Heading2"/>
      </w:pPr>
      <w:r>
        <w:t>Industry Orientation</w:t>
      </w:r>
    </w:p>
    <w:p>
      <w:r>
        <w:rPr>
          <w:sz w:val="22"/>
        </w:rPr>
        <w:t>Case-based learning, projects and professional exposure can help students connect academic concepts with business situations.</w:t>
      </w:r>
    </w:p>
    <w:p>
      <w:pPr>
        <w:pStyle w:val="Heading2"/>
      </w:pPr>
      <w:r>
        <w:t>Higher-Study Foundation</w:t>
      </w:r>
    </w:p>
    <w:p>
      <w:r>
        <w:rPr>
          <w:sz w:val="22"/>
        </w:rPr>
        <w:t>The degree can provide a base for further study and professional qualifications, subject to the eligibility criteria of the chosen next program.</w:t>
      </w:r>
    </w:p>
    <w:p>
      <w:pPr>
        <w:pStyle w:val="Heading1"/>
      </w:pPr>
      <w:r>
        <w:t>5. Shoolini Online BCom Eligibility</w:t>
      </w:r>
    </w:p>
    <w:p>
      <w:r>
        <w:rPr>
          <w:sz w:val="22"/>
        </w:rPr>
        <w:t>The current online BCom (Honours) program information lists 10+2 in any discipline with a minimum of 40% marks in the last qualifying examination for Indian students. International applicants are listed with a 60% qualifying-mark requirement, subject to applicable admission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rPr>
              <w:t>Parameter</w:t>
            </w:r>
          </w:p>
        </w:tc>
        <w:tc>
          <w:tcPr>
            <w:tcW w:type="dxa" w:w="4968"/>
            <w:vAlign w:val="center"/>
            <w:shd w:fill="D9E2F3"/>
          </w:tcPr>
          <w:p>
            <w:r>
              <w:rPr>
                <w:b/>
              </w:rPr>
              <w:t>Eligibility</w:t>
            </w:r>
          </w:p>
        </w:tc>
      </w:tr>
      <w:tr>
        <w:tc>
          <w:tcPr>
            <w:tcW w:type="dxa" w:w="4968"/>
            <w:vAlign w:val="center"/>
          </w:tcPr>
          <w:p>
            <w:r>
              <w:t>Qualification</w:t>
            </w:r>
          </w:p>
        </w:tc>
        <w:tc>
          <w:tcPr>
            <w:tcW w:type="dxa" w:w="4968"/>
            <w:vAlign w:val="center"/>
          </w:tcPr>
          <w:p>
            <w:r>
              <w:t>10+2 / equivalent</w:t>
            </w:r>
          </w:p>
        </w:tc>
      </w:tr>
      <w:tr>
        <w:tc>
          <w:tcPr>
            <w:tcW w:type="dxa" w:w="4968"/>
            <w:vAlign w:val="center"/>
          </w:tcPr>
          <w:p>
            <w:r>
              <w:t>Stream</w:t>
            </w:r>
          </w:p>
        </w:tc>
        <w:tc>
          <w:tcPr>
            <w:tcW w:type="dxa" w:w="4968"/>
            <w:vAlign w:val="center"/>
          </w:tcPr>
          <w:p>
            <w:r>
              <w:t>Any discipline</w:t>
            </w:r>
          </w:p>
        </w:tc>
      </w:tr>
      <w:tr>
        <w:tc>
          <w:tcPr>
            <w:tcW w:type="dxa" w:w="4968"/>
            <w:vAlign w:val="center"/>
          </w:tcPr>
          <w:p>
            <w:r>
              <w:t>Indian applicants</w:t>
            </w:r>
          </w:p>
        </w:tc>
        <w:tc>
          <w:tcPr>
            <w:tcW w:type="dxa" w:w="4968"/>
            <w:vAlign w:val="center"/>
          </w:tcPr>
          <w:p>
            <w:r>
              <w:t>Minimum 40% in the last qualifying examination</w:t>
            </w:r>
          </w:p>
        </w:tc>
      </w:tr>
      <w:tr>
        <w:tc>
          <w:tcPr>
            <w:tcW w:type="dxa" w:w="4968"/>
            <w:vAlign w:val="center"/>
          </w:tcPr>
          <w:p>
            <w:r>
              <w:t>International applicants</w:t>
            </w:r>
          </w:p>
        </w:tc>
        <w:tc>
          <w:tcPr>
            <w:tcW w:type="dxa" w:w="4968"/>
            <w:vAlign w:val="center"/>
          </w:tcPr>
          <w:p>
            <w:r>
              <w:t>Minimum 60% in the qualifying examination, as published</w:t>
            </w:r>
          </w:p>
        </w:tc>
      </w:tr>
      <w:tr>
        <w:tc>
          <w:tcPr>
            <w:tcW w:type="dxa" w:w="4968"/>
            <w:vAlign w:val="center"/>
          </w:tcPr>
          <w:p>
            <w:r>
              <w:t>Duration</w:t>
            </w:r>
          </w:p>
        </w:tc>
        <w:tc>
          <w:tcPr>
            <w:tcW w:type="dxa" w:w="4968"/>
            <w:vAlign w:val="center"/>
          </w:tcPr>
          <w:p>
            <w:r>
              <w:t>3 years / 6 semesters</w:t>
            </w:r>
          </w:p>
        </w:tc>
      </w:tr>
      <w:tr>
        <w:tc>
          <w:tcPr>
            <w:tcW w:type="dxa" w:w="4968"/>
            <w:vAlign w:val="center"/>
          </w:tcPr>
          <w:p>
            <w:r>
              <w:t>Mode</w:t>
            </w:r>
          </w:p>
        </w:tc>
        <w:tc>
          <w:tcPr>
            <w:tcW w:type="dxa" w:w="4968"/>
            <w:vAlign w:val="center"/>
          </w:tcPr>
          <w:p>
            <w:r>
              <w:t>Fully online</w:t>
            </w:r>
          </w:p>
        </w:tc>
      </w:tr>
    </w:tbl>
    <w:p/>
    <w:p>
      <w:pPr>
        <w:pStyle w:val="Heading1"/>
      </w:pPr>
      <w:r>
        <w:t>6. Shoolini Online BCom Course Structure</w:t>
      </w:r>
    </w:p>
    <w:p>
      <w:r>
        <w:rPr>
          <w:sz w:val="22"/>
        </w:rPr>
        <w:t>The curriculum moves progressively from accounting, economics and management fundamentals to corporate accounting, taxation, financial management, business law, auditing, strategic management and research/project work. This progression creates a connected foundation for careers in accounting, finance, banking, taxation, business operations and related functions.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rPr>
              <w:t>Semester</w:t>
            </w:r>
          </w:p>
        </w:tc>
        <w:tc>
          <w:tcPr>
            <w:tcW w:type="dxa" w:w="3312"/>
            <w:vAlign w:val="center"/>
            <w:shd w:fill="D9E2F3"/>
          </w:tcPr>
          <w:p>
            <w:r>
              <w:rPr>
                <w:b/>
              </w:rPr>
              <w:t>Major Subjects</w:t>
            </w:r>
          </w:p>
        </w:tc>
        <w:tc>
          <w:tcPr>
            <w:tcW w:type="dxa" w:w="3312"/>
            <w:vAlign w:val="center"/>
            <w:shd w:fill="D9E2F3"/>
          </w:tcPr>
          <w:p>
            <w:r>
              <w:rPr>
                <w:b/>
              </w:rPr>
              <w:t>Learning Focus</w:t>
            </w:r>
          </w:p>
        </w:tc>
      </w:tr>
      <w:tr>
        <w:tc>
          <w:tcPr>
            <w:tcW w:type="dxa" w:w="3312"/>
            <w:vAlign w:val="center"/>
          </w:tcPr>
          <w:p>
            <w:r>
              <w:t>Semester 1</w:t>
            </w:r>
          </w:p>
        </w:tc>
        <w:tc>
          <w:tcPr>
            <w:tcW w:type="dxa" w:w="3312"/>
            <w:vAlign w:val="center"/>
          </w:tcPr>
          <w:p>
            <w:r>
              <w:t>Functional English 1; Principles of Management; Financial Accounting; Creativity Decoded; Open Electives</w:t>
            </w:r>
          </w:p>
        </w:tc>
        <w:tc>
          <w:tcPr>
            <w:tcW w:type="dxa" w:w="3312"/>
            <w:vAlign w:val="center"/>
          </w:tcPr>
          <w:p>
            <w:r>
              <w:t>Commerce fundamentals, accounting, management and communication</w:t>
            </w:r>
          </w:p>
        </w:tc>
      </w:tr>
      <w:tr>
        <w:tc>
          <w:tcPr>
            <w:tcW w:type="dxa" w:w="3312"/>
            <w:vAlign w:val="center"/>
          </w:tcPr>
          <w:p>
            <w:r>
              <w:t>Semester 2</w:t>
            </w:r>
          </w:p>
        </w:tc>
        <w:tc>
          <w:tcPr>
            <w:tcW w:type="dxa" w:w="3312"/>
            <w:vAlign w:val="center"/>
          </w:tcPr>
          <w:p>
            <w:r>
              <w:t>Entrepreneurship; Functional English 2; Computerized Accounting Systems; Human Resource Management; Open Electives</w:t>
            </w:r>
          </w:p>
        </w:tc>
        <w:tc>
          <w:tcPr>
            <w:tcW w:type="dxa" w:w="3312"/>
            <w:vAlign w:val="center"/>
          </w:tcPr>
          <w:p>
            <w:r>
              <w:t>Accounting technology, HR, entrepreneurship and professional communication</w:t>
            </w:r>
          </w:p>
        </w:tc>
      </w:tr>
      <w:tr>
        <w:tc>
          <w:tcPr>
            <w:tcW w:type="dxa" w:w="3312"/>
            <w:vAlign w:val="center"/>
          </w:tcPr>
          <w:p>
            <w:r>
              <w:t>Semester 3</w:t>
            </w:r>
          </w:p>
        </w:tc>
        <w:tc>
          <w:tcPr>
            <w:tcW w:type="dxa" w:w="3312"/>
            <w:vAlign w:val="center"/>
          </w:tcPr>
          <w:p>
            <w:r>
              <w:t>Acing Interviews through AI; Marketing Management; Marketing Research; Principles of Economics; Open Electives</w:t>
            </w:r>
          </w:p>
        </w:tc>
        <w:tc>
          <w:tcPr>
            <w:tcW w:type="dxa" w:w="3312"/>
            <w:vAlign w:val="center"/>
          </w:tcPr>
          <w:p>
            <w:r>
              <w:t>Marketing, economics, research and employability</w:t>
            </w:r>
          </w:p>
        </w:tc>
      </w:tr>
      <w:tr>
        <w:tc>
          <w:tcPr>
            <w:tcW w:type="dxa" w:w="3312"/>
            <w:vAlign w:val="center"/>
          </w:tcPr>
          <w:p>
            <w:r>
              <w:t>Semester 4</w:t>
            </w:r>
          </w:p>
        </w:tc>
        <w:tc>
          <w:tcPr>
            <w:tcW w:type="dxa" w:w="3312"/>
            <w:vAlign w:val="center"/>
          </w:tcPr>
          <w:p>
            <w:r>
              <w:t>Business Statistics; Business Law; Financial Management; Organisational Behaviour; Open Elective</w:t>
            </w:r>
          </w:p>
        </w:tc>
        <w:tc>
          <w:tcPr>
            <w:tcW w:type="dxa" w:w="3312"/>
            <w:vAlign w:val="center"/>
          </w:tcPr>
          <w:p>
            <w:r>
              <w:t>Quantitative business analysis, finance, law and people management</w:t>
            </w:r>
          </w:p>
        </w:tc>
      </w:tr>
      <w:tr>
        <w:tc>
          <w:tcPr>
            <w:tcW w:type="dxa" w:w="3312"/>
            <w:vAlign w:val="center"/>
          </w:tcPr>
          <w:p>
            <w:r>
              <w:t>Semester 5</w:t>
            </w:r>
          </w:p>
        </w:tc>
        <w:tc>
          <w:tcPr>
            <w:tcW w:type="dxa" w:w="3312"/>
            <w:vAlign w:val="center"/>
          </w:tcPr>
          <w:p>
            <w:r>
              <w:t>Taxation; Sales Management; Cost Accounting; Subject Area Elective; Open Electives</w:t>
            </w:r>
          </w:p>
        </w:tc>
        <w:tc>
          <w:tcPr>
            <w:tcW w:type="dxa" w:w="3312"/>
            <w:vAlign w:val="center"/>
          </w:tcPr>
          <w:p>
            <w:r>
              <w:t>Tax, sales, cost control and applied commerce</w:t>
            </w:r>
          </w:p>
        </w:tc>
      </w:tr>
      <w:tr>
        <w:tc>
          <w:tcPr>
            <w:tcW w:type="dxa" w:w="3312"/>
            <w:vAlign w:val="center"/>
          </w:tcPr>
          <w:p>
            <w:r>
              <w:t>Semester 6</w:t>
            </w:r>
          </w:p>
        </w:tc>
        <w:tc>
          <w:tcPr>
            <w:tcW w:type="dxa" w:w="3312"/>
            <w:vAlign w:val="center"/>
          </w:tcPr>
          <w:p>
            <w:r>
              <w:t>Subject Area Electives; Research Methodology; Open Electives; Effective Negotiations &amp; Conflict Management</w:t>
            </w:r>
          </w:p>
        </w:tc>
        <w:tc>
          <w:tcPr>
            <w:tcW w:type="dxa" w:w="3312"/>
            <w:vAlign w:val="center"/>
          </w:tcPr>
          <w:p>
            <w:r>
              <w:t>Research, advanced electives, negotiation and final academic application</w:t>
            </w:r>
          </w:p>
        </w:tc>
      </w:tr>
    </w:tbl>
    <w:p/>
    <w:p>
      <w:pPr>
        <w:pStyle w:val="Heading1"/>
      </w:pPr>
      <w:r>
        <w:t>7. Core Learning Areas in Online BCom</w:t>
      </w:r>
    </w:p>
    <w:p>
      <w:pPr>
        <w:pStyle w:val="ListBullet"/>
      </w:pPr>
      <w:r>
        <w:t>Financial accounting and computerized accounting</w:t>
      </w:r>
    </w:p>
    <w:p>
      <w:pPr>
        <w:pStyle w:val="ListBullet"/>
      </w:pPr>
      <w:r>
        <w:t>Cost accounting and taxation</w:t>
      </w:r>
    </w:p>
    <w:p>
      <w:pPr>
        <w:pStyle w:val="ListBullet"/>
      </w:pPr>
      <w:r>
        <w:t>Business economics and statistics</w:t>
      </w:r>
    </w:p>
    <w:p>
      <w:pPr>
        <w:pStyle w:val="ListBullet"/>
      </w:pPr>
      <w:r>
        <w:t>Financial management</w:t>
      </w:r>
    </w:p>
    <w:p>
      <w:pPr>
        <w:pStyle w:val="ListBullet"/>
      </w:pPr>
      <w:r>
        <w:t>Business law</w:t>
      </w:r>
    </w:p>
    <w:p>
      <w:pPr>
        <w:pStyle w:val="ListBullet"/>
      </w:pPr>
      <w:r>
        <w:t>Marketing and sales management</w:t>
      </w:r>
    </w:p>
    <w:p>
      <w:pPr>
        <w:pStyle w:val="ListBullet"/>
      </w:pPr>
      <w:r>
        <w:t>Human resource and organisational behaviour</w:t>
      </w:r>
    </w:p>
    <w:p>
      <w:pPr>
        <w:pStyle w:val="ListBullet"/>
      </w:pPr>
      <w:r>
        <w:t>Entrepreneurship</w:t>
      </w:r>
    </w:p>
    <w:p>
      <w:pPr>
        <w:pStyle w:val="ListBullet"/>
      </w:pPr>
      <w:r>
        <w:t>Research methodology</w:t>
      </w:r>
    </w:p>
    <w:p>
      <w:pPr>
        <w:pStyle w:val="ListBullet"/>
      </w:pPr>
      <w:r>
        <w:t>Business communication and negotiation</w:t>
      </w:r>
    </w:p>
    <w:p>
      <w:pPr>
        <w:pStyle w:val="Heading1"/>
      </w:pPr>
      <w:r>
        <w:t>8. How Shoolini Online BCom Classes Work</w:t>
      </w:r>
    </w:p>
    <w:p>
      <w:pPr>
        <w:pStyle w:val="ListBullet"/>
      </w:pPr>
      <w:r>
        <w:t>Live online interaction and academic sessions</w:t>
      </w:r>
    </w:p>
    <w:p>
      <w:pPr>
        <w:pStyle w:val="ListBullet"/>
      </w:pPr>
      <w:r>
        <w:t>Recorded/self-learning resources through the LMS</w:t>
      </w:r>
    </w:p>
    <w:p>
      <w:pPr>
        <w:pStyle w:val="ListBullet"/>
      </w:pPr>
      <w:r>
        <w:t>Digital study materials and personalised learning resources</w:t>
      </w:r>
    </w:p>
    <w:p>
      <w:pPr>
        <w:pStyle w:val="ListBullet"/>
      </w:pPr>
      <w:r>
        <w:t>Online assignments, assessments and quizzes</w:t>
      </w:r>
    </w:p>
    <w:p>
      <w:pPr>
        <w:pStyle w:val="ListBullet"/>
      </w:pPr>
      <w:r>
        <w:t>Project and applied learning activities</w:t>
      </w:r>
    </w:p>
    <w:p>
      <w:pPr>
        <w:pStyle w:val="ListBullet"/>
      </w:pPr>
      <w:r>
        <w:t>Faculty interaction through live sessions and LMS communication</w:t>
      </w:r>
    </w:p>
    <w:p>
      <w:pPr>
        <w:pStyle w:val="Heading1"/>
      </w:pPr>
      <w:r>
        <w:t>9. Shoolini University Online BCom Fees</w:t>
      </w:r>
    </w:p>
    <w:p>
      <w:r>
        <w:rPr>
          <w:sz w:val="22"/>
        </w:rPr>
        <w:t>The current online BCom (Honours) page lists a six-semester structure with an application fee of ₹500 and an Indian-student regular fee of ₹1,20,000 before the listed scholarship. The published scholarship amount is ₹30,000, bringing the fee after scholarship to ₹90,000, or ₹15,000 per semester. Fee and scholarship terms can change by admission cycle and should be rechecked before publication.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rPr>
              <w:t>Component</w:t>
            </w:r>
          </w:p>
        </w:tc>
        <w:tc>
          <w:tcPr>
            <w:tcW w:type="dxa" w:w="4968"/>
            <w:vAlign w:val="center"/>
            <w:shd w:fill="D9E2F3"/>
          </w:tcPr>
          <w:p>
            <w:r>
              <w:rPr>
                <w:b/>
              </w:rPr>
              <w:t>Indian Students</w:t>
            </w:r>
          </w:p>
        </w:tc>
      </w:tr>
      <w:tr>
        <w:tc>
          <w:tcPr>
            <w:tcW w:type="dxa" w:w="4968"/>
            <w:vAlign w:val="center"/>
          </w:tcPr>
          <w:p>
            <w:r>
              <w:t>Application Fee</w:t>
            </w:r>
          </w:p>
        </w:tc>
        <w:tc>
          <w:tcPr>
            <w:tcW w:type="dxa" w:w="4968"/>
            <w:vAlign w:val="center"/>
          </w:tcPr>
          <w:p>
            <w:r>
              <w:t>₹500*</w:t>
            </w:r>
          </w:p>
        </w:tc>
      </w:tr>
      <w:tr>
        <w:tc>
          <w:tcPr>
            <w:tcW w:type="dxa" w:w="4968"/>
            <w:vAlign w:val="center"/>
          </w:tcPr>
          <w:p>
            <w:r>
              <w:t>Regular Program Fee</w:t>
            </w:r>
          </w:p>
        </w:tc>
        <w:tc>
          <w:tcPr>
            <w:tcW w:type="dxa" w:w="4968"/>
            <w:vAlign w:val="center"/>
          </w:tcPr>
          <w:p>
            <w:r>
              <w:t>₹1,20,000</w:t>
            </w:r>
          </w:p>
        </w:tc>
      </w:tr>
      <w:tr>
        <w:tc>
          <w:tcPr>
            <w:tcW w:type="dxa" w:w="4968"/>
            <w:vAlign w:val="center"/>
          </w:tcPr>
          <w:p>
            <w:r>
              <w:t>Scholarship Amount</w:t>
            </w:r>
          </w:p>
        </w:tc>
        <w:tc>
          <w:tcPr>
            <w:tcW w:type="dxa" w:w="4968"/>
            <w:vAlign w:val="center"/>
          </w:tcPr>
          <w:p>
            <w:r>
              <w:t>₹30,000</w:t>
            </w:r>
          </w:p>
        </w:tc>
      </w:tr>
      <w:tr>
        <w:tc>
          <w:tcPr>
            <w:tcW w:type="dxa" w:w="4968"/>
            <w:vAlign w:val="center"/>
          </w:tcPr>
          <w:p>
            <w:r>
              <w:t>Fee After Scholarship</w:t>
            </w:r>
          </w:p>
        </w:tc>
        <w:tc>
          <w:tcPr>
            <w:tcW w:type="dxa" w:w="4968"/>
            <w:vAlign w:val="center"/>
          </w:tcPr>
          <w:p>
            <w:r>
              <w:t>₹90,000</w:t>
            </w:r>
          </w:p>
        </w:tc>
      </w:tr>
      <w:tr>
        <w:tc>
          <w:tcPr>
            <w:tcW w:type="dxa" w:w="4968"/>
            <w:vAlign w:val="center"/>
          </w:tcPr>
          <w:p>
            <w:r>
              <w:t>Fee Per Semester</w:t>
            </w:r>
          </w:p>
        </w:tc>
        <w:tc>
          <w:tcPr>
            <w:tcW w:type="dxa" w:w="4968"/>
            <w:vAlign w:val="center"/>
          </w:tcPr>
          <w:p>
            <w:r>
              <w:t>₹15,000</w:t>
            </w:r>
          </w:p>
        </w:tc>
      </w:tr>
      <w:tr>
        <w:tc>
          <w:tcPr>
            <w:tcW w:type="dxa" w:w="4968"/>
            <w:vAlign w:val="center"/>
          </w:tcPr>
          <w:p>
            <w:r>
              <w:t>Duration</w:t>
            </w:r>
          </w:p>
        </w:tc>
        <w:tc>
          <w:tcPr>
            <w:tcW w:type="dxa" w:w="4968"/>
            <w:vAlign w:val="center"/>
          </w:tcPr>
          <w:p>
            <w:r>
              <w:t>6 semesters / 3 years</w:t>
            </w:r>
          </w:p>
        </w:tc>
      </w:tr>
      <w:tr>
        <w:tc>
          <w:tcPr>
            <w:tcW w:type="dxa" w:w="4968"/>
            <w:vAlign w:val="center"/>
          </w:tcPr>
          <w:p>
            <w:r>
              <w:t>Merit Scholarship</w:t>
            </w:r>
          </w:p>
        </w:tc>
        <w:tc>
          <w:tcPr>
            <w:tcW w:type="dxa" w:w="4968"/>
            <w:vAlign w:val="center"/>
          </w:tcPr>
          <w:p>
            <w:r>
              <w:t>10% for &gt;90% in Class 12, as published</w:t>
            </w:r>
          </w:p>
        </w:tc>
      </w:tr>
      <w:tr>
        <w:tc>
          <w:tcPr>
            <w:tcW w:type="dxa" w:w="4968"/>
            <w:vAlign w:val="center"/>
          </w:tcPr>
          <w:p>
            <w:r>
              <w:t>Payment Options</w:t>
            </w:r>
          </w:p>
        </w:tc>
        <w:tc>
          <w:tcPr>
            <w:tcW w:type="dxa" w:w="4968"/>
            <w:vAlign w:val="center"/>
          </w:tcPr>
          <w:p>
            <w:r>
              <w:t>Semester / annual / full-fee options subject to current terms</w:t>
            </w:r>
          </w:p>
        </w:tc>
      </w:tr>
      <w:tr>
        <w:tc>
          <w:tcPr>
            <w:tcW w:type="dxa" w:w="4968"/>
            <w:vAlign w:val="center"/>
          </w:tcPr>
          <w:p>
            <w:r>
              <w:t>EMI</w:t>
            </w:r>
          </w:p>
        </w:tc>
        <w:tc>
          <w:tcPr>
            <w:tcW w:type="dxa" w:w="4968"/>
            <w:vAlign w:val="center"/>
          </w:tcPr>
          <w:p>
            <w:r>
              <w:t>No-interest EMI/loan options are listed, subject to terms</w:t>
            </w:r>
          </w:p>
        </w:tc>
      </w:tr>
    </w:tbl>
    <w:p/>
    <w:p>
      <w:r>
        <w:t>*Application fee is non-refundable. Confirm the final fee and scholarship eligibility with the current admission portal.</w:t>
      </w:r>
    </w:p>
    <w:p>
      <w:pPr>
        <w:pStyle w:val="Heading1"/>
      </w:pPr>
      <w:r>
        <w:t>10. International Online BCom Fee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2F3"/>
          </w:tcPr>
          <w:p>
            <w:r>
              <w:rPr>
                <w:b/>
              </w:rPr>
              <w:t>Region</w:t>
            </w:r>
          </w:p>
        </w:tc>
        <w:tc>
          <w:tcPr>
            <w:tcW w:type="dxa" w:w="1987"/>
            <w:vAlign w:val="center"/>
            <w:shd w:fill="D9E2F3"/>
          </w:tcPr>
          <w:p>
            <w:r>
              <w:rPr>
                <w:b/>
              </w:rPr>
              <w:t>Standard Fee</w:t>
            </w:r>
          </w:p>
        </w:tc>
        <w:tc>
          <w:tcPr>
            <w:tcW w:type="dxa" w:w="1987"/>
            <w:vAlign w:val="center"/>
            <w:shd w:fill="D9E2F3"/>
          </w:tcPr>
          <w:p>
            <w:r>
              <w:rPr>
                <w:b/>
              </w:rPr>
              <w:t>Scholarship</w:t>
            </w:r>
          </w:p>
        </w:tc>
        <w:tc>
          <w:tcPr>
            <w:tcW w:type="dxa" w:w="1987"/>
            <w:vAlign w:val="center"/>
            <w:shd w:fill="D9E2F3"/>
          </w:tcPr>
          <w:p>
            <w:r>
              <w:rPr>
                <w:b/>
              </w:rPr>
              <w:t>Fee After Scholarship</w:t>
            </w:r>
          </w:p>
        </w:tc>
        <w:tc>
          <w:tcPr>
            <w:tcW w:type="dxa" w:w="1987"/>
            <w:vAlign w:val="center"/>
            <w:shd w:fill="D9E2F3"/>
          </w:tcPr>
          <w:p>
            <w:r>
              <w:rPr>
                <w:b/>
              </w:rPr>
              <w:t>Per Semester</w:t>
            </w:r>
          </w:p>
        </w:tc>
      </w:tr>
      <w:tr>
        <w:tc>
          <w:tcPr>
            <w:tcW w:type="dxa" w:w="1987"/>
            <w:vAlign w:val="center"/>
          </w:tcPr>
          <w:p>
            <w:r>
              <w:t>Africa</w:t>
            </w:r>
          </w:p>
        </w:tc>
        <w:tc>
          <w:tcPr>
            <w:tcW w:type="dxa" w:w="1987"/>
            <w:vAlign w:val="center"/>
          </w:tcPr>
          <w:p>
            <w:r>
              <w:t>$2,500</w:t>
            </w:r>
          </w:p>
        </w:tc>
        <w:tc>
          <w:tcPr>
            <w:tcW w:type="dxa" w:w="1987"/>
            <w:vAlign w:val="center"/>
          </w:tcPr>
          <w:p>
            <w:r>
              <w:t>$1,000</w:t>
            </w:r>
          </w:p>
        </w:tc>
        <w:tc>
          <w:tcPr>
            <w:tcW w:type="dxa" w:w="1987"/>
            <w:vAlign w:val="center"/>
          </w:tcPr>
          <w:p>
            <w:r>
              <w:t>$1,500</w:t>
            </w:r>
          </w:p>
        </w:tc>
        <w:tc>
          <w:tcPr>
            <w:tcW w:type="dxa" w:w="1987"/>
            <w:vAlign w:val="center"/>
          </w:tcPr>
          <w:p>
            <w:r>
              <w:t>$250</w:t>
            </w:r>
          </w:p>
        </w:tc>
      </w:tr>
      <w:tr>
        <w:tc>
          <w:tcPr>
            <w:tcW w:type="dxa" w:w="1987"/>
            <w:vAlign w:val="center"/>
          </w:tcPr>
          <w:p>
            <w:r>
              <w:t>Other listed regions</w:t>
            </w:r>
          </w:p>
        </w:tc>
        <w:tc>
          <w:tcPr>
            <w:tcW w:type="dxa" w:w="1987"/>
            <w:vAlign w:val="center"/>
          </w:tcPr>
          <w:p>
            <w:r>
              <w:t>$2,000</w:t>
            </w:r>
          </w:p>
        </w:tc>
        <w:tc>
          <w:tcPr>
            <w:tcW w:type="dxa" w:w="1987"/>
            <w:vAlign w:val="center"/>
          </w:tcPr>
          <w:p>
            <w:r>
              <w:t>$500</w:t>
            </w:r>
          </w:p>
        </w:tc>
        <w:tc>
          <w:tcPr>
            <w:tcW w:type="dxa" w:w="1987"/>
            <w:vAlign w:val="center"/>
          </w:tcPr>
          <w:p>
            <w:r>
              <w:t>$1,500</w:t>
            </w:r>
          </w:p>
        </w:tc>
        <w:tc>
          <w:tcPr>
            <w:tcW w:type="dxa" w:w="1987"/>
            <w:vAlign w:val="center"/>
          </w:tcPr>
          <w:p>
            <w:r>
              <w:t>$250</w:t>
            </w:r>
          </w:p>
        </w:tc>
      </w:tr>
      <w:tr>
        <w:tc>
          <w:tcPr>
            <w:tcW w:type="dxa" w:w="1987"/>
            <w:vAlign w:val="center"/>
          </w:tcPr>
          <w:p>
            <w:r>
              <w:t>Application Fee</w:t>
            </w:r>
          </w:p>
        </w:tc>
        <w:tc>
          <w:tcPr>
            <w:tcW w:type="dxa" w:w="1987"/>
            <w:vAlign w:val="center"/>
          </w:tcPr>
          <w:p>
            <w:r>
              <w:t>$50</w:t>
            </w:r>
          </w:p>
        </w:tc>
        <w:tc>
          <w:tcPr>
            <w:tcW w:type="dxa" w:w="1987"/>
            <w:vAlign w:val="center"/>
          </w:tcPr>
          <w:p>
            <w:r>
              <w:t>—</w:t>
            </w:r>
          </w:p>
        </w:tc>
        <w:tc>
          <w:tcPr>
            <w:tcW w:type="dxa" w:w="1987"/>
            <w:vAlign w:val="center"/>
          </w:tcPr>
          <w:p>
            <w:r>
              <w:t>—</w:t>
            </w:r>
          </w:p>
        </w:tc>
        <w:tc>
          <w:tcPr>
            <w:tcW w:type="dxa" w:w="1987"/>
            <w:vAlign w:val="center"/>
          </w:tcPr>
          <w:p>
            <w:r>
              <w:t>—</w:t>
            </w:r>
          </w:p>
        </w:tc>
      </w:tr>
    </w:tbl>
    <w:p/>
    <w:p>
      <w:r>
        <w:t>International eligibility, payment discounts and regional definitions should be confirmed for the current intake.</w:t>
      </w:r>
    </w:p>
    <w:p>
      <w:pPr>
        <w:pStyle w:val="Heading1"/>
      </w:pPr>
      <w:r>
        <w:t>11. Scholarships and Financial Support</w:t>
      </w:r>
    </w:p>
    <w:p>
      <w:pPr>
        <w:pStyle w:val="ListBullet"/>
      </w:pPr>
      <w:r>
        <w:t>Merit-based scholarship for eligible high-performing students.</w:t>
      </w:r>
    </w:p>
    <w:p>
      <w:pPr>
        <w:pStyle w:val="ListBullet"/>
      </w:pPr>
      <w:r>
        <w:t>Flexible payment options and no-interest EMI/loan options subject to terms.</w:t>
      </w:r>
    </w:p>
    <w:p>
      <w:pPr>
        <w:pStyle w:val="ListBullet"/>
      </w:pPr>
      <w:r>
        <w:t>Additional payment incentives may be available for annual or full-course payment.</w:t>
      </w:r>
    </w:p>
    <w:p>
      <w:pPr>
        <w:pStyle w:val="ListBullet"/>
      </w:pPr>
      <w:r>
        <w:t>International learners may have separate scholarship and payment structures.</w:t>
      </w:r>
    </w:p>
    <w:p>
      <w:pPr>
        <w:pStyle w:val="Heading1"/>
      </w:pPr>
      <w:r>
        <w:t>12. Admission Process for Shoolini Online BCom</w:t>
      </w:r>
    </w:p>
    <w:p>
      <w:pPr>
        <w:pStyle w:val="Heading2"/>
      </w:pPr>
      <w:r>
        <w:t>Step 1: Explore the Program</w:t>
      </w:r>
    </w:p>
    <w:p>
      <w:r>
        <w:rPr>
          <w:sz w:val="22"/>
        </w:rPr>
        <w:t>Review the BCom (Honours) curriculum, eligibility, fees and career direction.</w:t>
      </w:r>
    </w:p>
    <w:p>
      <w:pPr>
        <w:pStyle w:val="Heading2"/>
      </w:pPr>
      <w:r>
        <w:t>Step 2: Register Online</w:t>
      </w:r>
    </w:p>
    <w:p>
      <w:r>
        <w:rPr>
          <w:sz w:val="22"/>
        </w:rPr>
        <w:t>Create an application and enter personal and academic information.</w:t>
      </w:r>
    </w:p>
    <w:p>
      <w:pPr>
        <w:pStyle w:val="Heading2"/>
      </w:pPr>
      <w:r>
        <w:t>Step 3: Submit Documents</w:t>
      </w:r>
    </w:p>
    <w:p>
      <w:r>
        <w:rPr>
          <w:sz w:val="22"/>
        </w:rPr>
        <w:t>Upload the required academic and identity documents.</w:t>
      </w:r>
    </w:p>
    <w:p>
      <w:pPr>
        <w:pStyle w:val="Heading2"/>
      </w:pPr>
      <w:r>
        <w:t>Step 4: Pay the Application Fee</w:t>
      </w:r>
    </w:p>
    <w:p>
      <w:r>
        <w:rPr>
          <w:sz w:val="22"/>
        </w:rPr>
        <w:t>Complete the applicable non-refundable application payment.</w:t>
      </w:r>
    </w:p>
    <w:p>
      <w:pPr>
        <w:pStyle w:val="Heading2"/>
      </w:pPr>
      <w:r>
        <w:t>Step 5: Verification</w:t>
      </w:r>
    </w:p>
    <w:p>
      <w:r>
        <w:rPr>
          <w:sz w:val="22"/>
        </w:rPr>
        <w:t>The university reviews the submitted information and documents.</w:t>
      </w:r>
    </w:p>
    <w:p>
      <w:pPr>
        <w:pStyle w:val="Heading2"/>
      </w:pPr>
      <w:r>
        <w:t>Step 6: Admission Confirmation</w:t>
      </w:r>
    </w:p>
    <w:p>
      <w:r>
        <w:rPr>
          <w:sz w:val="22"/>
        </w:rPr>
        <w:t>Receive confirmation and access to the online learner portal.</w:t>
      </w:r>
    </w:p>
    <w:p>
      <w:pPr>
        <w:pStyle w:val="Heading2"/>
      </w:pPr>
      <w:r>
        <w:t>Step 7: Start Classes</w:t>
      </w:r>
    </w:p>
    <w:p>
      <w:r>
        <w:rPr>
          <w:sz w:val="22"/>
        </w:rPr>
        <w:t>Complete orientation, access the LMS and begin the semester.</w:t>
      </w:r>
    </w:p>
    <w:p>
      <w:pPr>
        <w:pStyle w:val="Heading1"/>
      </w:pPr>
      <w:r>
        <w:t>13. Career Scope After Online BCom</w:t>
      </w:r>
    </w:p>
    <w:p>
      <w:r>
        <w:rPr>
          <w:sz w:val="22"/>
        </w:rPr>
        <w:t>An online BCom (Honours) can provide a foundation for entry-level opportunities across accounting, finance, banking, taxation, sales, operations and business support. Career progression depends on practical skills, professional certifications, internships, experience and the role selected after graduation.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rPr>
              <w:t>Career Domain</w:t>
            </w:r>
          </w:p>
        </w:tc>
        <w:tc>
          <w:tcPr>
            <w:tcW w:type="dxa" w:w="4968"/>
            <w:vAlign w:val="center"/>
            <w:shd w:fill="D9E2F3"/>
          </w:tcPr>
          <w:p>
            <w:r>
              <w:rPr>
                <w:b/>
              </w:rPr>
              <w:t>Possible Roles</w:t>
            </w:r>
          </w:p>
        </w:tc>
      </w:tr>
      <w:tr>
        <w:tc>
          <w:tcPr>
            <w:tcW w:type="dxa" w:w="4968"/>
            <w:vAlign w:val="center"/>
          </w:tcPr>
          <w:p>
            <w:r>
              <w:t>Accounting</w:t>
            </w:r>
          </w:p>
        </w:tc>
        <w:tc>
          <w:tcPr>
            <w:tcW w:type="dxa" w:w="4968"/>
            <w:vAlign w:val="center"/>
          </w:tcPr>
          <w:p>
            <w:r>
              <w:t>Accounts Executive, Junior Accountant, Accounting Associate</w:t>
            </w:r>
          </w:p>
        </w:tc>
      </w:tr>
      <w:tr>
        <w:tc>
          <w:tcPr>
            <w:tcW w:type="dxa" w:w="4968"/>
            <w:vAlign w:val="center"/>
          </w:tcPr>
          <w:p>
            <w:r>
              <w:t>Finance</w:t>
            </w:r>
          </w:p>
        </w:tc>
        <w:tc>
          <w:tcPr>
            <w:tcW w:type="dxa" w:w="4968"/>
            <w:vAlign w:val="center"/>
          </w:tcPr>
          <w:p>
            <w:r>
              <w:t>Finance Operations Associate, Junior Financial Analyst</w:t>
            </w:r>
          </w:p>
        </w:tc>
      </w:tr>
      <w:tr>
        <w:tc>
          <w:tcPr>
            <w:tcW w:type="dxa" w:w="4968"/>
            <w:vAlign w:val="center"/>
          </w:tcPr>
          <w:p>
            <w:r>
              <w:t>Banking</w:t>
            </w:r>
          </w:p>
        </w:tc>
        <w:tc>
          <w:tcPr>
            <w:tcW w:type="dxa" w:w="4968"/>
            <w:vAlign w:val="center"/>
          </w:tcPr>
          <w:p>
            <w:r>
              <w:t>Banking Operations Associate, Relationship/Service Executive</w:t>
            </w:r>
          </w:p>
        </w:tc>
      </w:tr>
      <w:tr>
        <w:tc>
          <w:tcPr>
            <w:tcW w:type="dxa" w:w="4968"/>
            <w:vAlign w:val="center"/>
          </w:tcPr>
          <w:p>
            <w:r>
              <w:t>Taxation</w:t>
            </w:r>
          </w:p>
        </w:tc>
        <w:tc>
          <w:tcPr>
            <w:tcW w:type="dxa" w:w="4968"/>
            <w:vAlign w:val="center"/>
          </w:tcPr>
          <w:p>
            <w:r>
              <w:t>Tax Assistant, GST/Tax Support Executive</w:t>
            </w:r>
          </w:p>
        </w:tc>
      </w:tr>
      <w:tr>
        <w:tc>
          <w:tcPr>
            <w:tcW w:type="dxa" w:w="4968"/>
            <w:vAlign w:val="center"/>
          </w:tcPr>
          <w:p>
            <w:r>
              <w:t>Business Operations</w:t>
            </w:r>
          </w:p>
        </w:tc>
        <w:tc>
          <w:tcPr>
            <w:tcW w:type="dxa" w:w="4968"/>
            <w:vAlign w:val="center"/>
          </w:tcPr>
          <w:p>
            <w:r>
              <w:t>Business Operations Associate, Process Executive</w:t>
            </w:r>
          </w:p>
        </w:tc>
      </w:tr>
      <w:tr>
        <w:tc>
          <w:tcPr>
            <w:tcW w:type="dxa" w:w="4968"/>
            <w:vAlign w:val="center"/>
          </w:tcPr>
          <w:p>
            <w:r>
              <w:t>Sales &amp; Marketing</w:t>
            </w:r>
          </w:p>
        </w:tc>
        <w:tc>
          <w:tcPr>
            <w:tcW w:type="dxa" w:w="4968"/>
            <w:vAlign w:val="center"/>
          </w:tcPr>
          <w:p>
            <w:r>
              <w:t>Sales Executive, Marketing Associate</w:t>
            </w:r>
          </w:p>
        </w:tc>
      </w:tr>
      <w:tr>
        <w:tc>
          <w:tcPr>
            <w:tcW w:type="dxa" w:w="4968"/>
            <w:vAlign w:val="center"/>
          </w:tcPr>
          <w:p>
            <w:r>
              <w:t>Entrepreneurship</w:t>
            </w:r>
          </w:p>
        </w:tc>
        <w:tc>
          <w:tcPr>
            <w:tcW w:type="dxa" w:w="4968"/>
            <w:vAlign w:val="center"/>
          </w:tcPr>
          <w:p>
            <w:r>
              <w:t>Small Business/Freelance Business Services, Startup Operations</w:t>
            </w:r>
          </w:p>
        </w:tc>
      </w:tr>
      <w:tr>
        <w:tc>
          <w:tcPr>
            <w:tcW w:type="dxa" w:w="4968"/>
            <w:vAlign w:val="center"/>
          </w:tcPr>
          <w:p>
            <w:r>
              <w:t>Higher Studies</w:t>
            </w:r>
          </w:p>
        </w:tc>
        <w:tc>
          <w:tcPr>
            <w:tcW w:type="dxa" w:w="4968"/>
            <w:vAlign w:val="center"/>
          </w:tcPr>
          <w:p>
            <w:r>
              <w:t>MBA, MCom or other eligible postgraduate/professional programs</w:t>
            </w:r>
          </w:p>
        </w:tc>
      </w:tr>
    </w:tbl>
    <w:p/>
    <w:p>
      <w:pPr>
        <w:pStyle w:val="Heading1"/>
      </w:pPr>
      <w:r>
        <w:t>14. Placement and Career Support</w:t>
      </w:r>
    </w:p>
    <w:p>
      <w:r>
        <w:rPr>
          <w:sz w:val="22"/>
        </w:rPr>
        <w:t>Online learners should evaluate career support as a combination of guidance, employability preparation and access to opportunities rather than as a guaranteed placement. The online program materials highlight career coaching, communication training, interview preparation, industry mentorship and additional upskilling resources.</w:t>
      </w:r>
    </w:p>
    <w:p>
      <w:pPr>
        <w:pStyle w:val="ListBullet"/>
      </w:pPr>
      <w:r>
        <w:t>Career and interview preparation</w:t>
      </w:r>
    </w:p>
    <w:p>
      <w:pPr>
        <w:pStyle w:val="ListBullet"/>
      </w:pPr>
      <w:r>
        <w:t>Resume and professional profile support</w:t>
      </w:r>
    </w:p>
    <w:p>
      <w:pPr>
        <w:pStyle w:val="ListBullet"/>
      </w:pPr>
      <w:r>
        <w:t>Communication and employability training</w:t>
      </w:r>
    </w:p>
    <w:p>
      <w:pPr>
        <w:pStyle w:val="ListBullet"/>
      </w:pPr>
      <w:r>
        <w:t>Industry mentorship and exposure</w:t>
      </w:r>
    </w:p>
    <w:p>
      <w:pPr>
        <w:pStyle w:val="ListBullet"/>
      </w:pPr>
      <w:r>
        <w:t>Upskilling and certification-oriented learning opportunities</w:t>
      </w:r>
    </w:p>
    <w:p>
      <w:pPr>
        <w:pStyle w:val="Heading1"/>
      </w:pPr>
      <w:r>
        <w:t>15. Online BCom vs Traditional BCom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Pr>
                <w:b/>
              </w:rPr>
              <w:t>Aspect</w:t>
            </w:r>
          </w:p>
        </w:tc>
        <w:tc>
          <w:tcPr>
            <w:tcW w:type="dxa" w:w="3312"/>
            <w:vAlign w:val="center"/>
            <w:shd w:fill="D9E2F3"/>
          </w:tcPr>
          <w:p>
            <w:r>
              <w:rPr>
                <w:b/>
              </w:rPr>
              <w:t>Online BCom</w:t>
            </w:r>
          </w:p>
        </w:tc>
        <w:tc>
          <w:tcPr>
            <w:tcW w:type="dxa" w:w="3312"/>
            <w:vAlign w:val="center"/>
            <w:shd w:fill="D9E2F3"/>
          </w:tcPr>
          <w:p>
            <w:r>
              <w:rPr>
                <w:b/>
              </w:rPr>
              <w:t>Traditional BCom</w:t>
            </w:r>
          </w:p>
        </w:tc>
      </w:tr>
      <w:tr>
        <w:tc>
          <w:tcPr>
            <w:tcW w:type="dxa" w:w="3312"/>
            <w:vAlign w:val="center"/>
          </w:tcPr>
          <w:p>
            <w:r>
              <w:t>Flexibility</w:t>
            </w:r>
          </w:p>
        </w:tc>
        <w:tc>
          <w:tcPr>
            <w:tcW w:type="dxa" w:w="3312"/>
            <w:vAlign w:val="center"/>
          </w:tcPr>
          <w:p>
            <w:r>
              <w:t>High</w:t>
            </w:r>
          </w:p>
        </w:tc>
        <w:tc>
          <w:tcPr>
            <w:tcW w:type="dxa" w:w="3312"/>
            <w:vAlign w:val="center"/>
          </w:tcPr>
          <w:p>
            <w:r>
              <w:t>Moderate</w:t>
            </w:r>
          </w:p>
        </w:tc>
      </w:tr>
      <w:tr>
        <w:tc>
          <w:tcPr>
            <w:tcW w:type="dxa" w:w="3312"/>
            <w:vAlign w:val="center"/>
          </w:tcPr>
          <w:p>
            <w:r>
              <w:t>Location</w:t>
            </w:r>
          </w:p>
        </w:tc>
        <w:tc>
          <w:tcPr>
            <w:tcW w:type="dxa" w:w="3312"/>
            <w:vAlign w:val="center"/>
          </w:tcPr>
          <w:p>
            <w:r>
              <w:t>Remote</w:t>
            </w:r>
          </w:p>
        </w:tc>
        <w:tc>
          <w:tcPr>
            <w:tcW w:type="dxa" w:w="3312"/>
            <w:vAlign w:val="center"/>
          </w:tcPr>
          <w:p>
            <w:r>
              <w:t>Campus</w:t>
            </w:r>
          </w:p>
        </w:tc>
      </w:tr>
      <w:tr>
        <w:tc>
          <w:tcPr>
            <w:tcW w:type="dxa" w:w="3312"/>
            <w:vAlign w:val="center"/>
          </w:tcPr>
          <w:p>
            <w:r>
              <w:t>Campus Interaction</w:t>
            </w:r>
          </w:p>
        </w:tc>
        <w:tc>
          <w:tcPr>
            <w:tcW w:type="dxa" w:w="3312"/>
            <w:vAlign w:val="center"/>
          </w:tcPr>
          <w:p>
            <w:r>
              <w:t>Limited</w:t>
            </w:r>
          </w:p>
        </w:tc>
        <w:tc>
          <w:tcPr>
            <w:tcW w:type="dxa" w:w="3312"/>
            <w:vAlign w:val="center"/>
          </w:tcPr>
          <w:p>
            <w:r>
              <w:t>High</w:t>
            </w:r>
          </w:p>
        </w:tc>
      </w:tr>
      <w:tr>
        <w:tc>
          <w:tcPr>
            <w:tcW w:type="dxa" w:w="3312"/>
            <w:vAlign w:val="center"/>
          </w:tcPr>
          <w:p>
            <w:r>
              <w:t>Travel/Relocation</w:t>
            </w:r>
          </w:p>
        </w:tc>
        <w:tc>
          <w:tcPr>
            <w:tcW w:type="dxa" w:w="3312"/>
            <w:vAlign w:val="center"/>
          </w:tcPr>
          <w:p>
            <w:r>
              <w:t>Lower need</w:t>
            </w:r>
          </w:p>
        </w:tc>
        <w:tc>
          <w:tcPr>
            <w:tcW w:type="dxa" w:w="3312"/>
            <w:vAlign w:val="center"/>
          </w:tcPr>
          <w:p>
            <w:r>
              <w:t>May be required</w:t>
            </w:r>
          </w:p>
        </w:tc>
      </w:tr>
      <w:tr>
        <w:tc>
          <w:tcPr>
            <w:tcW w:type="dxa" w:w="3312"/>
            <w:vAlign w:val="center"/>
          </w:tcPr>
          <w:p>
            <w:r>
              <w:t>Self-Discipline</w:t>
            </w:r>
          </w:p>
        </w:tc>
        <w:tc>
          <w:tcPr>
            <w:tcW w:type="dxa" w:w="3312"/>
            <w:vAlign w:val="center"/>
          </w:tcPr>
          <w:p>
            <w:r>
              <w:t>High</w:t>
            </w:r>
          </w:p>
        </w:tc>
        <w:tc>
          <w:tcPr>
            <w:tcW w:type="dxa" w:w="3312"/>
            <w:vAlign w:val="center"/>
          </w:tcPr>
          <w:p>
            <w:r>
              <w:t>Moderate</w:t>
            </w:r>
          </w:p>
        </w:tc>
      </w:tr>
      <w:tr>
        <w:tc>
          <w:tcPr>
            <w:tcW w:type="dxa" w:w="3312"/>
            <w:vAlign w:val="center"/>
          </w:tcPr>
          <w:p>
            <w:r>
              <w:t>Digital Learning</w:t>
            </w:r>
          </w:p>
        </w:tc>
        <w:tc>
          <w:tcPr>
            <w:tcW w:type="dxa" w:w="3312"/>
            <w:vAlign w:val="center"/>
          </w:tcPr>
          <w:p>
            <w:r>
              <w:t>Central to delivery</w:t>
            </w:r>
          </w:p>
        </w:tc>
        <w:tc>
          <w:tcPr>
            <w:tcW w:type="dxa" w:w="3312"/>
            <w:vAlign w:val="center"/>
          </w:tcPr>
          <w:p>
            <w:r>
              <w:t>Supporting role</w:t>
            </w:r>
          </w:p>
        </w:tc>
      </w:tr>
      <w:tr>
        <w:tc>
          <w:tcPr>
            <w:tcW w:type="dxa" w:w="3312"/>
            <w:vAlign w:val="center"/>
          </w:tcPr>
          <w:p>
            <w:r>
              <w:t>Networking</w:t>
            </w:r>
          </w:p>
        </w:tc>
        <w:tc>
          <w:tcPr>
            <w:tcW w:type="dxa" w:w="3312"/>
            <w:vAlign w:val="center"/>
          </w:tcPr>
          <w:p>
            <w:r>
              <w:t>Online communities and events</w:t>
            </w:r>
          </w:p>
        </w:tc>
        <w:tc>
          <w:tcPr>
            <w:tcW w:type="dxa" w:w="3312"/>
            <w:vAlign w:val="center"/>
          </w:tcPr>
          <w:p>
            <w:r>
              <w:t>Direct campus ecosystem</w:t>
            </w:r>
          </w:p>
        </w:tc>
      </w:tr>
    </w:tbl>
    <w:p/>
    <w:p>
      <w:pPr>
        <w:pStyle w:val="Heading1"/>
      </w:pPr>
      <w:r>
        <w:t>16. Advantages and Potential Limitations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Pr>
                <w:b/>
              </w:rPr>
              <w:t>Advantages</w:t>
            </w:r>
          </w:p>
        </w:tc>
        <w:tc>
          <w:tcPr>
            <w:tcW w:type="dxa" w:w="4968"/>
            <w:vAlign w:val="center"/>
            <w:shd w:fill="D9E2F3"/>
          </w:tcPr>
          <w:p>
            <w:r>
              <w:rPr>
                <w:b/>
              </w:rPr>
              <w:t>Potential Limitations</w:t>
            </w:r>
          </w:p>
        </w:tc>
      </w:tr>
      <w:tr>
        <w:tc>
          <w:tcPr>
            <w:tcW w:type="dxa" w:w="4968"/>
            <w:vAlign w:val="center"/>
          </w:tcPr>
          <w:p>
            <w:r>
              <w:t>Flexible study from any location</w:t>
            </w:r>
          </w:p>
        </w:tc>
        <w:tc>
          <w:tcPr>
            <w:tcW w:type="dxa" w:w="4968"/>
            <w:vAlign w:val="center"/>
          </w:tcPr>
          <w:p>
            <w:r>
              <w:t>Less face-to-face campus interaction</w:t>
            </w:r>
          </w:p>
        </w:tc>
      </w:tr>
      <w:tr>
        <w:tc>
          <w:tcPr>
            <w:tcW w:type="dxa" w:w="4968"/>
            <w:vAlign w:val="center"/>
          </w:tcPr>
          <w:p>
            <w:r>
              <w:t>Lower relocation and commuting burden</w:t>
            </w:r>
          </w:p>
        </w:tc>
        <w:tc>
          <w:tcPr>
            <w:tcW w:type="dxa" w:w="4968"/>
            <w:vAlign w:val="center"/>
          </w:tcPr>
          <w:p>
            <w:r>
              <w:t>Requires consistent self-management</w:t>
            </w:r>
          </w:p>
        </w:tc>
      </w:tr>
      <w:tr>
        <w:tc>
          <w:tcPr>
            <w:tcW w:type="dxa" w:w="4968"/>
            <w:vAlign w:val="center"/>
          </w:tcPr>
          <w:p>
            <w:r>
              <w:t>Structured commerce curriculum</w:t>
            </w:r>
          </w:p>
        </w:tc>
        <w:tc>
          <w:tcPr>
            <w:tcW w:type="dxa" w:w="4968"/>
            <w:vAlign w:val="center"/>
          </w:tcPr>
          <w:p>
            <w:r>
              <w:t>Professional outcomes still depend on skills and experience</w:t>
            </w:r>
          </w:p>
        </w:tc>
      </w:tr>
      <w:tr>
        <w:tc>
          <w:tcPr>
            <w:tcW w:type="dxa" w:w="4968"/>
            <w:vAlign w:val="center"/>
          </w:tcPr>
          <w:p>
            <w:r>
              <w:t>Digital resources and LMS access</w:t>
            </w:r>
          </w:p>
        </w:tc>
        <w:tc>
          <w:tcPr>
            <w:tcW w:type="dxa" w:w="4968"/>
            <w:vAlign w:val="center"/>
          </w:tcPr>
          <w:p>
            <w:r>
              <w:t>Reliable internet/device access is essential</w:t>
            </w:r>
          </w:p>
        </w:tc>
      </w:tr>
      <w:tr>
        <w:tc>
          <w:tcPr>
            <w:tcW w:type="dxa" w:w="4968"/>
            <w:vAlign w:val="center"/>
          </w:tcPr>
          <w:p>
            <w:r>
              <w:t>Suitable alongside other responsibilities</w:t>
            </w:r>
          </w:p>
        </w:tc>
        <w:tc>
          <w:tcPr>
            <w:tcW w:type="dxa" w:w="4968"/>
            <w:vAlign w:val="center"/>
          </w:tcPr>
          <w:p>
            <w:r>
              <w:t>Networking may be different from a residential college</w:t>
            </w:r>
          </w:p>
        </w:tc>
      </w:tr>
    </w:tbl>
    <w:p/>
    <w:p>
      <w:pPr>
        <w:pStyle w:val="Heading1"/>
      </w:pPr>
      <w:r>
        <w:t>17. Who Should Choose Shoolini Online BCom?</w:t>
      </w:r>
    </w:p>
    <w:p>
      <w:pPr>
        <w:pStyle w:val="ListBullet"/>
      </w:pPr>
      <w:r>
        <w:t>Class 12 graduates who want to build a foundation in commerce and business.</w:t>
      </w:r>
    </w:p>
    <w:p>
      <w:pPr>
        <w:pStyle w:val="ListBullet"/>
      </w:pPr>
      <w:r>
        <w:t>Learners interested in accounting, finance, taxation, banking or management.</w:t>
      </w:r>
    </w:p>
    <w:p>
      <w:pPr>
        <w:pStyle w:val="ListBullet"/>
      </w:pPr>
      <w:r>
        <w:t>Students who prefer an online learning environment and flexible schedule.</w:t>
      </w:r>
    </w:p>
    <w:p>
      <w:pPr>
        <w:pStyle w:val="ListBullet"/>
      </w:pPr>
      <w:r>
        <w:t>Learners planning to combine BCom with professional certifications or skill courses.</w:t>
      </w:r>
    </w:p>
    <w:p>
      <w:pPr>
        <w:pStyle w:val="ListBullet"/>
      </w:pPr>
      <w:r>
        <w:t>Students considering MBA, MCom or other postgraduate pathways after graduation.</w:t>
      </w:r>
    </w:p>
    <w:p>
      <w:pPr>
        <w:pStyle w:val="Heading1"/>
      </w:pPr>
      <w:r>
        <w:t>18. Is Shoolini Online BCom Worth It?</w:t>
      </w:r>
    </w:p>
    <w:p>
      <w:r>
        <w:rPr>
          <w:sz w:val="22"/>
        </w:rPr>
        <w:t>Shoolini Online BCom (Honours) can be a strong fit for students who value flexibility and want a structured commerce degree covering accounting, finance, taxation, economics, business law, marketing and management. Its practical value increases when learners complement the degree with internships, accounting software skills, Excel/data skills, communication training and relevant professional certifications.</w:t>
      </w:r>
    </w:p>
    <w:p>
      <w:r>
        <w:rPr>
          <w:sz w:val="22"/>
        </w:rPr>
        <w:t>The right decision should be based on the latest fee, eligibility, online entitlement, assessment method, career-support terms and the learner’s intended career path. A degree alone does not guarantee a particular salary or job outcome.</w:t>
      </w:r>
    </w:p>
    <w:p>
      <w:pPr>
        <w:pStyle w:val="Heading1"/>
      </w:pPr>
      <w:r>
        <w:t>19. Conclusion</w:t>
      </w:r>
    </w:p>
    <w:p>
      <w:r>
        <w:rPr>
          <w:sz w:val="22"/>
        </w:rPr>
        <w:t>Shoolini University Online BCom (Honours) provides a three-year digital route into commerce education with a curriculum spanning accounting, finance, taxation, economics, marketing, business law, management and professional skills. For learners who need flexibility and are prepared to take ownership of their academic and career development, the program can provide a useful foundation for entry-level commerce careers and further education.</w:t>
      </w:r>
    </w:p>
    <w:p>
      <w:r>
        <w:rPr>
          <w:sz w:val="22"/>
        </w:rPr>
        <w:t>Before enrolment, prospective students should verify the latest academic-session information directly with the university, particularly fees, scholarships, eligibility, online entitlement and admission deadlines.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