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SHOOLINI UNIVERSITY ONLINE MBA</w:t>
        <w:br/>
        <w:t>DEEP BLOG CONTENT BLOCKS</w:t>
      </w:r>
    </w:p>
    <w:p>
      <w:pPr>
        <w:jc w:val="center"/>
      </w:pPr>
      <w:r>
        <w:rPr>
          <w:i/>
        </w:rPr>
        <w:t>Vendor-ready | SEO-focused | Block-wise content | ONE course/page only</w:t>
      </w:r>
    </w:p>
    <w:p>
      <w:r>
        <w:t>Primary Topic: Shoolini University Online MBA</w:t>
      </w:r>
    </w:p>
    <w:p>
      <w:r>
        <w:t>Intent: Admission, Fees, Eligibility, Specializations, Curriculum, Career &amp; Placement</w:t>
      </w:r>
    </w:p>
    <w:p>
      <w:r>
        <w:t>Implementation: Each numbered block is an independent CMS/Lovable section. Do not combine with BCA, MCA or general university content.</w:t>
      </w:r>
    </w:p>
    <w:p>
      <w:pPr>
        <w:pStyle w:val="Heading1"/>
      </w:pPr>
      <w:r>
        <w:t>BLOCK 01 — SEO HERO / INTRODUCTION</w:t>
      </w:r>
    </w:p>
    <w:p>
      <w:r>
        <w:rPr>
          <w:b/>
        </w:rPr>
        <w:t xml:space="preserve">BLOCK PURPOSE: </w:t>
      </w:r>
      <w:r>
        <w:t>Open with the exact course intent and audience problem.</w:t>
      </w:r>
    </w:p>
    <w:p>
      <w:r>
        <w:t>Shoolini University Online MBA is designed for graduates and working professionals who want to build management knowledge without putting their career or other responsibilities on hold. The two-year online postgraduate programme combines flexible digital learning with business-focused subjects, academic guidance and career-oriented learning.</w:t>
      </w:r>
    </w:p>
    <w:p>
      <w:r>
        <w:t>The programme is suitable for learners who want to strengthen skills in finance, marketing, human resources, operations, business strategy and emerging business trends. Students can access learning from their preferred location through an online learning environment.</w:t>
      </w:r>
    </w:p>
    <w:p>
      <w:r>
        <w:t>This guide covers programme highlights, eligibility, specializations, admission steps, fee considerations, learning methodology, curriculum, career support, job roles and the difference between online and regular MBA.</w:t>
      </w:r>
    </w:p>
    <w:p/>
    <w:p>
      <w:pPr>
        <w:pStyle w:val="Heading1"/>
      </w:pPr>
      <w:r>
        <w:t>BLOCK 02 — ABOUT SHOOLINI UNIVERSITY ONLINE MBA</w:t>
      </w:r>
    </w:p>
    <w:p>
      <w:r>
        <w:rPr>
          <w:b/>
        </w:rPr>
        <w:t xml:space="preserve">BLOCK PURPOSE: </w:t>
      </w:r>
      <w:r>
        <w:t>Explain the course, format and target learners.</w:t>
      </w:r>
    </w:p>
    <w:p>
      <w:r>
        <w:t>The Shoolini University Online MBA is a two-year postgraduate management degree delivered through an online learning model. It is intended to develop a strong foundation in business and management while allowing students to continue with work or other personal commitments.</w:t>
      </w:r>
    </w:p>
    <w:p>
      <w:r>
        <w:t>The supplied course content describes live online classes, recorded lectures, digital study resources, discussion forums, online tests and academic assistance. This model gives learners access to structured management education without requiring regular physical attendance.</w:t>
      </w:r>
    </w:p>
    <w:p>
      <w:r>
        <w:t>The programme can suit learners seeking career advancement, management skill development or a transition into management-oriented roles, subject to specialization, skills, experience and applicable university requirements.</w:t>
      </w:r>
    </w:p>
    <w:p/>
    <w:p>
      <w:pPr>
        <w:pStyle w:val="Heading1"/>
      </w:pPr>
      <w:r>
        <w:t>BLOCK 03 — COURSE HIGHLIGHTS</w:t>
      </w:r>
    </w:p>
    <w:p>
      <w:r>
        <w:rPr>
          <w:b/>
        </w:rPr>
        <w:t xml:space="preserve">BLOCK PURPOSE: </w:t>
      </w:r>
      <w:r>
        <w:t>Quick-scan information block.</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Particulars</w:t>
            </w:r>
          </w:p>
        </w:tc>
        <w:tc>
          <w:tcPr>
            <w:tcW w:type="dxa" w:w="5112"/>
            <w:vAlign w:val="center"/>
          </w:tcPr>
          <w:p>
            <w:r>
              <w:rPr>
                <w:b/>
              </w:rPr>
              <w:t>Details</w:t>
            </w:r>
          </w:p>
        </w:tc>
      </w:tr>
      <w:tr>
        <w:tc>
          <w:tcPr>
            <w:tcW w:type="dxa" w:w="5112"/>
            <w:vAlign w:val="center"/>
          </w:tcPr>
          <w:p>
            <w:r>
              <w:t>Course Name</w:t>
            </w:r>
          </w:p>
        </w:tc>
        <w:tc>
          <w:tcPr>
            <w:tcW w:type="dxa" w:w="5112"/>
            <w:vAlign w:val="center"/>
          </w:tcPr>
          <w:p>
            <w:r>
              <w:t>Shoolini University Online MBA</w:t>
            </w:r>
          </w:p>
        </w:tc>
      </w:tr>
      <w:tr>
        <w:tc>
          <w:tcPr>
            <w:tcW w:type="dxa" w:w="5112"/>
            <w:vAlign w:val="center"/>
          </w:tcPr>
          <w:p>
            <w:r>
              <w:t>Course Level</w:t>
            </w:r>
          </w:p>
        </w:tc>
        <w:tc>
          <w:tcPr>
            <w:tcW w:type="dxa" w:w="5112"/>
            <w:vAlign w:val="center"/>
          </w:tcPr>
          <w:p>
            <w:r>
              <w:t>Postgraduate</w:t>
            </w:r>
          </w:p>
        </w:tc>
      </w:tr>
      <w:tr>
        <w:tc>
          <w:tcPr>
            <w:tcW w:type="dxa" w:w="5112"/>
            <w:vAlign w:val="center"/>
          </w:tcPr>
          <w:p>
            <w:r>
              <w:t>Duration</w:t>
            </w:r>
          </w:p>
        </w:tc>
        <w:tc>
          <w:tcPr>
            <w:tcW w:type="dxa" w:w="5112"/>
            <w:vAlign w:val="center"/>
          </w:tcPr>
          <w:p>
            <w:r>
              <w:t>2 Years</w:t>
            </w:r>
          </w:p>
        </w:tc>
      </w:tr>
      <w:tr>
        <w:tc>
          <w:tcPr>
            <w:tcW w:type="dxa" w:w="5112"/>
            <w:vAlign w:val="center"/>
          </w:tcPr>
          <w:p>
            <w:r>
              <w:t>Mode of Learning</w:t>
            </w:r>
          </w:p>
        </w:tc>
        <w:tc>
          <w:tcPr>
            <w:tcW w:type="dxa" w:w="5112"/>
            <w:vAlign w:val="center"/>
          </w:tcPr>
          <w:p>
            <w:r>
              <w:t>Fully Online</w:t>
            </w:r>
          </w:p>
        </w:tc>
      </w:tr>
      <w:tr>
        <w:tc>
          <w:tcPr>
            <w:tcW w:type="dxa" w:w="5112"/>
            <w:vAlign w:val="center"/>
          </w:tcPr>
          <w:p>
            <w:r>
              <w:t>Eligibility</w:t>
            </w:r>
          </w:p>
        </w:tc>
        <w:tc>
          <w:tcPr>
            <w:tcW w:type="dxa" w:w="5112"/>
            <w:vAlign w:val="center"/>
          </w:tcPr>
          <w:p>
            <w:r>
              <w:t>Bachelor’s Degree from a Recognized University</w:t>
            </w:r>
          </w:p>
        </w:tc>
      </w:tr>
      <w:tr>
        <w:tc>
          <w:tcPr>
            <w:tcW w:type="dxa" w:w="5112"/>
            <w:vAlign w:val="center"/>
          </w:tcPr>
          <w:p>
            <w:r>
              <w:t>Learning Method</w:t>
            </w:r>
          </w:p>
        </w:tc>
        <w:tc>
          <w:tcPr>
            <w:tcW w:type="dxa" w:w="5112"/>
            <w:vAlign w:val="center"/>
          </w:tcPr>
          <w:p>
            <w:r>
              <w:t>Live &amp; Recorded Classes</w:t>
            </w:r>
          </w:p>
        </w:tc>
      </w:tr>
      <w:tr>
        <w:tc>
          <w:tcPr>
            <w:tcW w:type="dxa" w:w="5112"/>
            <w:vAlign w:val="center"/>
          </w:tcPr>
          <w:p>
            <w:r>
              <w:t>Study Material</w:t>
            </w:r>
          </w:p>
        </w:tc>
        <w:tc>
          <w:tcPr>
            <w:tcW w:type="dxa" w:w="5112"/>
            <w:vAlign w:val="center"/>
          </w:tcPr>
          <w:p>
            <w:r>
              <w:t>Digital Learning Resources</w:t>
            </w:r>
          </w:p>
        </w:tc>
      </w:tr>
      <w:tr>
        <w:tc>
          <w:tcPr>
            <w:tcW w:type="dxa" w:w="5112"/>
            <w:vAlign w:val="center"/>
          </w:tcPr>
          <w:p>
            <w:r>
              <w:t>Admission Mode</w:t>
            </w:r>
          </w:p>
        </w:tc>
        <w:tc>
          <w:tcPr>
            <w:tcW w:type="dxa" w:w="5112"/>
            <w:vAlign w:val="center"/>
          </w:tcPr>
          <w:p>
            <w:r>
              <w:t>Online Application</w:t>
            </w:r>
          </w:p>
        </w:tc>
      </w:tr>
      <w:tr>
        <w:tc>
          <w:tcPr>
            <w:tcW w:type="dxa" w:w="5112"/>
            <w:vAlign w:val="center"/>
          </w:tcPr>
          <w:p>
            <w:r>
              <w:t>Placement Support</w:t>
            </w:r>
          </w:p>
        </w:tc>
        <w:tc>
          <w:tcPr>
            <w:tcW w:type="dxa" w:w="5112"/>
            <w:vAlign w:val="center"/>
          </w:tcPr>
          <w:p>
            <w:r>
              <w:t>Available</w:t>
            </w:r>
          </w:p>
        </w:tc>
      </w:tr>
    </w:tbl>
    <w:p/>
    <w:p>
      <w:pPr>
        <w:pStyle w:val="Heading1"/>
      </w:pPr>
      <w:r>
        <w:t>BLOCK 04 — WHY CHOOSE SHOOLINI UNIVERSITY ONLINE MBA?</w:t>
      </w:r>
    </w:p>
    <w:p>
      <w:r>
        <w:rPr>
          <w:b/>
        </w:rPr>
        <w:t xml:space="preserve">BLOCK PURPOSE: </w:t>
      </w:r>
      <w:r>
        <w:t>Main USP cards.</w:t>
      </w:r>
    </w:p>
    <w:p>
      <w:pPr>
        <w:pStyle w:val="ListBullet"/>
      </w:pPr>
      <w:r>
        <w:t>Flexible online learning for working professionals and learners with other commitments.</w:t>
      </w:r>
    </w:p>
    <w:p>
      <w:pPr>
        <w:pStyle w:val="ListBullet"/>
      </w:pPr>
      <w:r>
        <w:t>Industry-focused curriculum designed around contemporary business practices.</w:t>
      </w:r>
    </w:p>
    <w:p>
      <w:pPr>
        <w:pStyle w:val="ListBullet"/>
      </w:pPr>
      <w:r>
        <w:t>Live and recorded lectures for flexible learning.</w:t>
      </w:r>
    </w:p>
    <w:p>
      <w:pPr>
        <w:pStyle w:val="ListBullet"/>
      </w:pPr>
      <w:r>
        <w:t>Faculty members and academic mentors to support the learning journey.</w:t>
      </w:r>
    </w:p>
    <w:p>
      <w:pPr>
        <w:pStyle w:val="ListBullet"/>
      </w:pPr>
      <w:r>
        <w:t>Interactive Learning Management System (LMS).</w:t>
      </w:r>
    </w:p>
    <w:p>
      <w:pPr>
        <w:pStyle w:val="ListBullet"/>
      </w:pPr>
      <w:r>
        <w:t>Digital learning materials, assignments and online tests.</w:t>
      </w:r>
    </w:p>
    <w:p>
      <w:pPr>
        <w:pStyle w:val="ListBullet"/>
      </w:pPr>
      <w:r>
        <w:t>Flexible fee/payment approach, subject to the applicable admission structure.</w:t>
      </w:r>
    </w:p>
    <w:p>
      <w:pPr>
        <w:pStyle w:val="ListBullet"/>
      </w:pPr>
      <w:r>
        <w:t>Career and placement support services.</w:t>
      </w:r>
    </w:p>
    <w:p>
      <w:pPr>
        <w:pStyle w:val="ListBullet"/>
      </w:pPr>
      <w:r>
        <w:t>Opportunity to develop management, business and leadership capabilities.</w:t>
      </w:r>
    </w:p>
    <w:p/>
    <w:p>
      <w:pPr>
        <w:pStyle w:val="Heading1"/>
      </w:pPr>
      <w:r>
        <w:t>BLOCK 05 — ONLINE MBA SPECIALIZATIONS</w:t>
      </w:r>
    </w:p>
    <w:p>
      <w:r>
        <w:rPr>
          <w:b/>
        </w:rPr>
        <w:t xml:space="preserve">BLOCK PURPOSE: </w:t>
      </w:r>
      <w:r>
        <w:t>Specialization cards with career relevance.</w:t>
      </w:r>
    </w:p>
    <w:p>
      <w:r>
        <w:t>The supplied content identifies the following popular specialization options. The final page should show only options confirmed for the current admission session.</w:t>
      </w:r>
    </w:p>
    <w:p>
      <w:pPr>
        <w:pStyle w:val="ListBullet"/>
      </w:pPr>
      <w:r>
        <w:t>Marketing Management — marketing, branding, sales and customer-focused roles.</w:t>
      </w:r>
    </w:p>
    <w:p>
      <w:pPr>
        <w:pStyle w:val="ListBullet"/>
      </w:pPr>
      <w:r>
        <w:t>Finance Management — financial analysis, corporate finance and finance-related business functions.</w:t>
      </w:r>
    </w:p>
    <w:p>
      <w:pPr>
        <w:pStyle w:val="ListBullet"/>
      </w:pPr>
      <w:r>
        <w:t>Human Resource Management — recruitment, employee relations and people management.</w:t>
      </w:r>
    </w:p>
    <w:p>
      <w:pPr>
        <w:pStyle w:val="ListBullet"/>
      </w:pPr>
      <w:r>
        <w:t>Business Analytics — data-supported business decision-making.</w:t>
      </w:r>
    </w:p>
    <w:p>
      <w:pPr>
        <w:pStyle w:val="ListBullet"/>
      </w:pPr>
      <w:r>
        <w:t>Digital Marketing — digital campaigns, online acquisition, content and performance marketing.</w:t>
      </w:r>
    </w:p>
    <w:p>
      <w:pPr>
        <w:pStyle w:val="ListBullet"/>
      </w:pPr>
      <w:r>
        <w:t>Operations Management — processes, efficiency, supply chain and operational decisions.</w:t>
      </w:r>
    </w:p>
    <w:p>
      <w:pPr>
        <w:pStyle w:val="ListBullet"/>
      </w:pPr>
      <w:r>
        <w:t>International Business — global business environments and cross-border management.</w:t>
      </w:r>
    </w:p>
    <w:p/>
    <w:p>
      <w:pPr>
        <w:pStyle w:val="Heading1"/>
      </w:pPr>
      <w:r>
        <w:t>BLOCK 06 — ELIGIBILITY CRITERIA</w:t>
      </w:r>
    </w:p>
    <w:p>
      <w:r>
        <w:rPr>
          <w:b/>
        </w:rPr>
        <w:t xml:space="preserve">BLOCK PURPOSE: </w:t>
      </w:r>
      <w:r>
        <w:t>Answer eligibility without inventing unsupported marks.</w:t>
      </w:r>
    </w:p>
    <w:p>
      <w:r>
        <w:t>Applicants should check the latest university admission notice before applying. Based on the supplied content, a bachelor’s or master’s degree from an accredited/recognized university is expected, and graduation is required.</w:t>
      </w:r>
    </w:p>
    <w:p>
      <w:r>
        <w:t>The supplied content states that candidates from different academic backgrounds can apply and that both fresh graduates and working professionals may be considered. Exact eligibility conditions, minimum marks or session-specific requirements should be confirmed from the latest admission information.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Eligibility Point</w:t>
            </w:r>
          </w:p>
        </w:tc>
        <w:tc>
          <w:tcPr>
            <w:tcW w:type="dxa" w:w="5112"/>
            <w:vAlign w:val="center"/>
          </w:tcPr>
          <w:p>
            <w:r>
              <w:rPr>
                <w:b/>
              </w:rPr>
              <w:t>Requirement / Guidance</w:t>
            </w:r>
          </w:p>
        </w:tc>
      </w:tr>
      <w:tr>
        <w:tc>
          <w:tcPr>
            <w:tcW w:type="dxa" w:w="5112"/>
            <w:vAlign w:val="center"/>
          </w:tcPr>
          <w:p>
            <w:r>
              <w:t>Academic Qualification</w:t>
            </w:r>
          </w:p>
        </w:tc>
        <w:tc>
          <w:tcPr>
            <w:tcW w:type="dxa" w:w="5112"/>
            <w:vAlign w:val="center"/>
          </w:tcPr>
          <w:p>
            <w:r>
              <w:t>Bachelor’s or master’s degree from a recognized/accredited university</w:t>
            </w:r>
          </w:p>
        </w:tc>
      </w:tr>
      <w:tr>
        <w:tc>
          <w:tcPr>
            <w:tcW w:type="dxa" w:w="5112"/>
            <w:vAlign w:val="center"/>
          </w:tcPr>
          <w:p>
            <w:r>
              <w:t>Discipline</w:t>
            </w:r>
          </w:p>
        </w:tc>
        <w:tc>
          <w:tcPr>
            <w:tcW w:type="dxa" w:w="5112"/>
            <w:vAlign w:val="center"/>
          </w:tcPr>
          <w:p>
            <w:r>
              <w:t>Graduation can be from different academic backgrounds, subject to university rules</w:t>
            </w:r>
          </w:p>
        </w:tc>
      </w:tr>
      <w:tr>
        <w:tc>
          <w:tcPr>
            <w:tcW w:type="dxa" w:w="5112"/>
            <w:vAlign w:val="center"/>
          </w:tcPr>
          <w:p>
            <w:r>
              <w:t>Fresh Graduates</w:t>
            </w:r>
          </w:p>
        </w:tc>
        <w:tc>
          <w:tcPr>
            <w:tcW w:type="dxa" w:w="5112"/>
            <w:vAlign w:val="center"/>
          </w:tcPr>
          <w:p>
            <w:r>
              <w:t>Can be considered</w:t>
            </w:r>
          </w:p>
        </w:tc>
      </w:tr>
      <w:tr>
        <w:tc>
          <w:tcPr>
            <w:tcW w:type="dxa" w:w="5112"/>
            <w:vAlign w:val="center"/>
          </w:tcPr>
          <w:p>
            <w:r>
              <w:t>Working Professionals</w:t>
            </w:r>
          </w:p>
        </w:tc>
        <w:tc>
          <w:tcPr>
            <w:tcW w:type="dxa" w:w="5112"/>
            <w:vAlign w:val="center"/>
          </w:tcPr>
          <w:p>
            <w:r>
              <w:t>Can be considered</w:t>
            </w:r>
          </w:p>
        </w:tc>
      </w:tr>
      <w:tr>
        <w:tc>
          <w:tcPr>
            <w:tcW w:type="dxa" w:w="5112"/>
            <w:vAlign w:val="center"/>
          </w:tcPr>
          <w:p>
            <w:r>
              <w:t>Final Check</w:t>
            </w:r>
          </w:p>
        </w:tc>
        <w:tc>
          <w:tcPr>
            <w:tcW w:type="dxa" w:w="5112"/>
            <w:vAlign w:val="center"/>
          </w:tcPr>
          <w:p>
            <w:r>
              <w:t>Verify latest admission notice</w:t>
            </w:r>
          </w:p>
        </w:tc>
      </w:tr>
    </w:tbl>
    <w:p/>
    <w:p>
      <w:pPr>
        <w:pStyle w:val="Heading1"/>
      </w:pPr>
      <w:r>
        <w:t>BLOCK 07 — ADMISSION PROCESS</w:t>
      </w:r>
    </w:p>
    <w:p>
      <w:r>
        <w:rPr>
          <w:b/>
        </w:rPr>
        <w:t xml:space="preserve">BLOCK PURPOSE: </w:t>
      </w:r>
      <w:r>
        <w:t>Conversion-oriented admission journey.</w:t>
      </w:r>
    </w:p>
    <w:p>
      <w:pPr>
        <w:pStyle w:val="ListBullet"/>
      </w:pPr>
      <w:r>
        <w:t>Step 1 — Online Registration: Visit the university admission portal and register with the required basic details.</w:t>
      </w:r>
    </w:p>
    <w:p>
      <w:pPr>
        <w:pStyle w:val="ListBullet"/>
      </w:pPr>
      <w:r>
        <w:t>Step 2 — Application Form: Enter personal, academic and communication information carefully.</w:t>
      </w:r>
    </w:p>
    <w:p>
      <w:pPr>
        <w:pStyle w:val="ListBullet"/>
      </w:pPr>
      <w:r>
        <w:t>Step 3 — Document Upload: Upload graduation documents, identity proof, photograph, signature and other applicable documents.</w:t>
      </w:r>
    </w:p>
    <w:p>
      <w:pPr>
        <w:pStyle w:val="ListBullet"/>
      </w:pPr>
      <w:r>
        <w:t>Step 4 — Fee Payment: Pay the applicable admission/semester fee through the available online payment method.</w:t>
      </w:r>
    </w:p>
    <w:p>
      <w:pPr>
        <w:pStyle w:val="ListBullet"/>
      </w:pPr>
      <w:r>
        <w:t>Step 5 — Verification &amp; Confirmation: The university verifies submitted information and documents; after approval, admission confirmation and LMS access can be provided.</w:t>
      </w:r>
    </w:p>
    <w:p/>
    <w:p>
      <w:r>
        <w:t>CTA: Check Eligibility &amp; Start Your Online MBA Application</w:t>
      </w:r>
    </w:p>
    <w:p>
      <w:pPr>
        <w:pStyle w:val="Heading1"/>
      </w:pPr>
      <w:r>
        <w:t>BLOCK 08 — DOCUMENTS REQUIRED</w:t>
      </w:r>
    </w:p>
    <w:p>
      <w:r>
        <w:rPr>
          <w:b/>
        </w:rPr>
        <w:t xml:space="preserve">BLOCK PURPOSE: </w:t>
      </w:r>
      <w:r>
        <w:t>Document checklist.</w:t>
      </w:r>
    </w:p>
    <w:p>
      <w:pPr>
        <w:pStyle w:val="ListBullet"/>
      </w:pPr>
      <w:r>
        <w:t>Graduation marksheets and degree certificate.</w:t>
      </w:r>
    </w:p>
    <w:p>
      <w:pPr>
        <w:pStyle w:val="ListBullet"/>
      </w:pPr>
      <w:r>
        <w:t>Valid government-issued identity proof.</w:t>
      </w:r>
    </w:p>
    <w:p>
      <w:pPr>
        <w:pStyle w:val="ListBullet"/>
      </w:pPr>
      <w:r>
        <w:t>Recent passport-size photograph.</w:t>
      </w:r>
    </w:p>
    <w:p>
      <w:pPr>
        <w:pStyle w:val="ListBullet"/>
      </w:pPr>
      <w:r>
        <w:t>Scanned signature.</w:t>
      </w:r>
    </w:p>
    <w:p>
      <w:pPr>
        <w:pStyle w:val="ListBullet"/>
      </w:pPr>
      <w:r>
        <w:t>Category certificate, if applicable.</w:t>
      </w:r>
    </w:p>
    <w:p>
      <w:pPr>
        <w:pStyle w:val="ListBullet"/>
      </w:pPr>
      <w:r>
        <w:t>Any additional document requested for the applicable admission session.</w:t>
      </w:r>
    </w:p>
    <w:p/>
    <w:p>
      <w:pPr>
        <w:pStyle w:val="Heading1"/>
      </w:pPr>
      <w:r>
        <w:t>BLOCK 09 — ONLINE MBA FEES</w:t>
      </w:r>
    </w:p>
    <w:p>
      <w:r>
        <w:rPr>
          <w:b/>
        </w:rPr>
        <w:t xml:space="preserve">BLOCK PURPOSE: </w:t>
      </w:r>
      <w:r>
        <w:t>Explain fees without fabricating a current amount.</w:t>
      </w:r>
    </w:p>
    <w:p>
      <w:r>
        <w:t>The supplied content indicates that the Shoolini University Online MBA fee can be paid semester-wise and that the exact cost may vary according to the admission session, scholarships and university guidelines.</w:t>
      </w:r>
    </w:p>
    <w:p>
      <w:r>
        <w:t>Because the supplied source does not provide a confirmed current MBA fee amount, the page should not publish an invented figure as the final fee. Present the fee as session-dependent and direct prospective students to verify the latest official fee notification before payment.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Fee Consideration</w:t>
            </w:r>
          </w:p>
        </w:tc>
        <w:tc>
          <w:tcPr>
            <w:tcW w:type="dxa" w:w="5112"/>
            <w:vAlign w:val="center"/>
          </w:tcPr>
          <w:p>
            <w:r>
              <w:rPr>
                <w:b/>
              </w:rPr>
              <w:t>What to Check</w:t>
            </w:r>
          </w:p>
        </w:tc>
      </w:tr>
      <w:tr>
        <w:tc>
          <w:tcPr>
            <w:tcW w:type="dxa" w:w="5112"/>
            <w:vAlign w:val="center"/>
          </w:tcPr>
          <w:p>
            <w:r>
              <w:t>Programme Fee</w:t>
            </w:r>
          </w:p>
        </w:tc>
        <w:tc>
          <w:tcPr>
            <w:tcW w:type="dxa" w:w="5112"/>
            <w:vAlign w:val="center"/>
          </w:tcPr>
          <w:p>
            <w:r>
              <w:t>Latest university fee notification</w:t>
            </w:r>
          </w:p>
        </w:tc>
      </w:tr>
      <w:tr>
        <w:tc>
          <w:tcPr>
            <w:tcW w:type="dxa" w:w="5112"/>
            <w:vAlign w:val="center"/>
          </w:tcPr>
          <w:p>
            <w:r>
              <w:t>Payment Mode</w:t>
            </w:r>
          </w:p>
        </w:tc>
        <w:tc>
          <w:tcPr>
            <w:tcW w:type="dxa" w:w="5112"/>
            <w:vAlign w:val="center"/>
          </w:tcPr>
          <w:p>
            <w:r>
              <w:t>Semester-wise/available payment options</w:t>
            </w:r>
          </w:p>
        </w:tc>
      </w:tr>
      <w:tr>
        <w:tc>
          <w:tcPr>
            <w:tcW w:type="dxa" w:w="5112"/>
            <w:vAlign w:val="center"/>
          </w:tcPr>
          <w:p>
            <w:r>
              <w:t>Scholarship</w:t>
            </w:r>
          </w:p>
        </w:tc>
        <w:tc>
          <w:tcPr>
            <w:tcW w:type="dxa" w:w="5112"/>
            <w:vAlign w:val="center"/>
          </w:tcPr>
          <w:p>
            <w:r>
              <w:t>Applicable scholarship rules</w:t>
            </w:r>
          </w:p>
        </w:tc>
      </w:tr>
      <w:tr>
        <w:tc>
          <w:tcPr>
            <w:tcW w:type="dxa" w:w="5112"/>
            <w:vAlign w:val="center"/>
          </w:tcPr>
          <w:p>
            <w:r>
              <w:t>Other Charges</w:t>
            </w:r>
          </w:p>
        </w:tc>
        <w:tc>
          <w:tcPr>
            <w:tcW w:type="dxa" w:w="5112"/>
            <w:vAlign w:val="center"/>
          </w:tcPr>
          <w:p>
            <w:r>
              <w:t>Any applicable admission/administrative charges</w:t>
            </w:r>
          </w:p>
        </w:tc>
      </w:tr>
      <w:tr>
        <w:tc>
          <w:tcPr>
            <w:tcW w:type="dxa" w:w="5112"/>
            <w:vAlign w:val="center"/>
          </w:tcPr>
          <w:p>
            <w:r>
              <w:t>Final Amount</w:t>
            </w:r>
          </w:p>
        </w:tc>
        <w:tc>
          <w:tcPr>
            <w:tcW w:type="dxa" w:w="5112"/>
            <w:vAlign w:val="center"/>
          </w:tcPr>
          <w:p>
            <w:r>
              <w:t>Confirm from current official admission information</w:t>
            </w:r>
          </w:p>
        </w:tc>
      </w:tr>
    </w:tbl>
    <w:p/>
    <w:p>
      <w:pPr>
        <w:pStyle w:val="Heading1"/>
      </w:pPr>
      <w:r>
        <w:t>BLOCK 10 — LEARNING METHODOLOGY</w:t>
      </w:r>
    </w:p>
    <w:p>
      <w:r>
        <w:rPr>
          <w:b/>
        </w:rPr>
        <w:t xml:space="preserve">BLOCK PURPOSE: </w:t>
      </w:r>
      <w:r>
        <w:t>Make the online learning experience tangible.</w:t>
      </w:r>
    </w:p>
    <w:p>
      <w:pPr>
        <w:pStyle w:val="ListBullet"/>
      </w:pPr>
      <w:r>
        <w:t>Live interactive online classes.</w:t>
      </w:r>
    </w:p>
    <w:p>
      <w:pPr>
        <w:pStyle w:val="ListBullet"/>
      </w:pPr>
      <w:r>
        <w:t>Recorded video lectures.</w:t>
      </w:r>
    </w:p>
    <w:p>
      <w:pPr>
        <w:pStyle w:val="ListBullet"/>
      </w:pPr>
      <w:r>
        <w:t>Digital study material.</w:t>
      </w:r>
    </w:p>
    <w:p>
      <w:pPr>
        <w:pStyle w:val="ListBullet"/>
      </w:pPr>
      <w:r>
        <w:t>E-books and learning resources.</w:t>
      </w:r>
    </w:p>
    <w:p>
      <w:pPr>
        <w:pStyle w:val="ListBullet"/>
      </w:pPr>
      <w:r>
        <w:t>Online assignments.</w:t>
      </w:r>
    </w:p>
    <w:p>
      <w:pPr>
        <w:pStyle w:val="ListBullet"/>
      </w:pPr>
      <w:r>
        <w:t>Case study discussions.</w:t>
      </w:r>
    </w:p>
    <w:p>
      <w:pPr>
        <w:pStyle w:val="ListBullet"/>
      </w:pPr>
      <w:r>
        <w:t>Doubt-clearing sessions.</w:t>
      </w:r>
    </w:p>
    <w:p>
      <w:pPr>
        <w:pStyle w:val="ListBullet"/>
      </w:pPr>
      <w:r>
        <w:t>Online examinations through the LMS, as applicable.</w:t>
      </w:r>
    </w:p>
    <w:p/>
    <w:p>
      <w:pPr>
        <w:pStyle w:val="Heading1"/>
      </w:pPr>
      <w:r>
        <w:t>BLOCK 11 — CURRICULUM &amp; SUBJECT AREAS</w:t>
      </w:r>
    </w:p>
    <w:p>
      <w:r>
        <w:rPr>
          <w:b/>
        </w:rPr>
        <w:t xml:space="preserve">BLOCK PURPOSE: </w:t>
      </w:r>
      <w:r>
        <w:t>Deep curriculum overview without inventing semester papers.</w:t>
      </w:r>
    </w:p>
    <w:p>
      <w:r>
        <w:t>The Online MBA curriculum is designed around core management concepts and specialization-oriented learning. The supplied content identifies accounting, business management, finance, marketing, human resource management, organizational behavior, operations, business strategy and emerging business trends as key subject areas.</w:t>
      </w:r>
    </w:p>
    <w:p>
      <w:r>
        <w:t>Assignments, projects and case-based activities can help learners connect management concepts with practical business situations. The exact semester-wise paper list should be displayed only after checking the current official syllabus.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Subject Area</w:t>
            </w:r>
          </w:p>
        </w:tc>
        <w:tc>
          <w:tcPr>
            <w:tcW w:type="dxa" w:w="5112"/>
            <w:vAlign w:val="center"/>
          </w:tcPr>
          <w:p>
            <w:r>
              <w:rPr>
                <w:b/>
              </w:rPr>
              <w:t>Learning Focus</w:t>
            </w:r>
          </w:p>
        </w:tc>
      </w:tr>
      <w:tr>
        <w:tc>
          <w:tcPr>
            <w:tcW w:type="dxa" w:w="5112"/>
            <w:vAlign w:val="center"/>
          </w:tcPr>
          <w:p>
            <w:r>
              <w:t>Accounting</w:t>
            </w:r>
          </w:p>
        </w:tc>
        <w:tc>
          <w:tcPr>
            <w:tcW w:type="dxa" w:w="5112"/>
            <w:vAlign w:val="center"/>
          </w:tcPr>
          <w:p>
            <w:r>
              <w:t>Business accounting and financial information</w:t>
            </w:r>
          </w:p>
        </w:tc>
      </w:tr>
      <w:tr>
        <w:tc>
          <w:tcPr>
            <w:tcW w:type="dxa" w:w="5112"/>
            <w:vAlign w:val="center"/>
          </w:tcPr>
          <w:p>
            <w:r>
              <w:t>Finance</w:t>
            </w:r>
          </w:p>
        </w:tc>
        <w:tc>
          <w:tcPr>
            <w:tcW w:type="dxa" w:w="5112"/>
            <w:vAlign w:val="center"/>
          </w:tcPr>
          <w:p>
            <w:r>
              <w:t>Financial decision-making and management concepts</w:t>
            </w:r>
          </w:p>
        </w:tc>
      </w:tr>
      <w:tr>
        <w:tc>
          <w:tcPr>
            <w:tcW w:type="dxa" w:w="5112"/>
            <w:vAlign w:val="center"/>
          </w:tcPr>
          <w:p>
            <w:r>
              <w:t>Marketing</w:t>
            </w:r>
          </w:p>
        </w:tc>
        <w:tc>
          <w:tcPr>
            <w:tcW w:type="dxa" w:w="5112"/>
            <w:vAlign w:val="center"/>
          </w:tcPr>
          <w:p>
            <w:r>
              <w:t>Marketing strategy, customers and market decisions</w:t>
            </w:r>
          </w:p>
        </w:tc>
      </w:tr>
      <w:tr>
        <w:tc>
          <w:tcPr>
            <w:tcW w:type="dxa" w:w="5112"/>
            <w:vAlign w:val="center"/>
          </w:tcPr>
          <w:p>
            <w:r>
              <w:t>Human Resources</w:t>
            </w:r>
          </w:p>
        </w:tc>
        <w:tc>
          <w:tcPr>
            <w:tcW w:type="dxa" w:w="5112"/>
            <w:vAlign w:val="center"/>
          </w:tcPr>
          <w:p>
            <w:r>
              <w:t>People management and organizational practices</w:t>
            </w:r>
          </w:p>
        </w:tc>
      </w:tr>
      <w:tr>
        <w:tc>
          <w:tcPr>
            <w:tcW w:type="dxa" w:w="5112"/>
            <w:vAlign w:val="center"/>
          </w:tcPr>
          <w:p>
            <w:r>
              <w:t>Operations</w:t>
            </w:r>
          </w:p>
        </w:tc>
        <w:tc>
          <w:tcPr>
            <w:tcW w:type="dxa" w:w="5112"/>
            <w:vAlign w:val="center"/>
          </w:tcPr>
          <w:p>
            <w:r>
              <w:t>Processes, efficiency and operational decisions</w:t>
            </w:r>
          </w:p>
        </w:tc>
      </w:tr>
      <w:tr>
        <w:tc>
          <w:tcPr>
            <w:tcW w:type="dxa" w:w="5112"/>
            <w:vAlign w:val="center"/>
          </w:tcPr>
          <w:p>
            <w:r>
              <w:t>Organizational Behavior</w:t>
            </w:r>
          </w:p>
        </w:tc>
        <w:tc>
          <w:tcPr>
            <w:tcW w:type="dxa" w:w="5112"/>
            <w:vAlign w:val="center"/>
          </w:tcPr>
          <w:p>
            <w:r>
              <w:t>People, teams and workplace behavior</w:t>
            </w:r>
          </w:p>
        </w:tc>
      </w:tr>
      <w:tr>
        <w:tc>
          <w:tcPr>
            <w:tcW w:type="dxa" w:w="5112"/>
            <w:vAlign w:val="center"/>
          </w:tcPr>
          <w:p>
            <w:r>
              <w:t>Business Strategy</w:t>
            </w:r>
          </w:p>
        </w:tc>
        <w:tc>
          <w:tcPr>
            <w:tcW w:type="dxa" w:w="5112"/>
            <w:vAlign w:val="center"/>
          </w:tcPr>
          <w:p>
            <w:r>
              <w:t>Strategic planning and competitive decisions</w:t>
            </w:r>
          </w:p>
        </w:tc>
      </w:tr>
      <w:tr>
        <w:tc>
          <w:tcPr>
            <w:tcW w:type="dxa" w:w="5112"/>
            <w:vAlign w:val="center"/>
          </w:tcPr>
          <w:p>
            <w:r>
              <w:t>Emerging Trends</w:t>
            </w:r>
          </w:p>
        </w:tc>
        <w:tc>
          <w:tcPr>
            <w:tcW w:type="dxa" w:w="5112"/>
            <w:vAlign w:val="center"/>
          </w:tcPr>
          <w:p>
            <w:r>
              <w:t>Contemporary business practices and new management trends</w:t>
            </w:r>
          </w:p>
        </w:tc>
      </w:tr>
    </w:tbl>
    <w:p/>
    <w:p>
      <w:pPr>
        <w:pStyle w:val="Heading1"/>
      </w:pPr>
      <w:r>
        <w:t>BLOCK 12 — CAREER &amp; PLACEMENT SUPPORT</w:t>
      </w:r>
    </w:p>
    <w:p>
      <w:r>
        <w:rPr>
          <w:b/>
        </w:rPr>
        <w:t xml:space="preserve">BLOCK PURPOSE: </w:t>
      </w:r>
      <w:r>
        <w:t>Separate support from guaranteed employment.</w:t>
      </w:r>
    </w:p>
    <w:p>
      <w:r>
        <w:t>The supplied content states that Shoolini University focuses on employability through career support services. These may include resume building, career counselling, interview preparation, skill development workshops, industry interaction and placement assistance.</w:t>
      </w:r>
    </w:p>
    <w:p>
      <w:r>
        <w:t>These should be described as support initiatives rather than a guaranteed job. Outcomes depend on specialization, prior experience, skills, interview performance, employer requirements and market conditions.</w:t>
      </w:r>
    </w:p>
    <w:p>
      <w:pPr>
        <w:pStyle w:val="ListBullet"/>
      </w:pPr>
      <w:r>
        <w:t>Resume-building assistance</w:t>
      </w:r>
    </w:p>
    <w:p>
      <w:pPr>
        <w:pStyle w:val="ListBullet"/>
      </w:pPr>
      <w:r>
        <w:t>Career counselling</w:t>
      </w:r>
    </w:p>
    <w:p>
      <w:pPr>
        <w:pStyle w:val="ListBullet"/>
      </w:pPr>
      <w:r>
        <w:t>Interview preparation</w:t>
      </w:r>
    </w:p>
    <w:p>
      <w:pPr>
        <w:pStyle w:val="ListBullet"/>
      </w:pPr>
      <w:r>
        <w:t>Skill-development workshops</w:t>
      </w:r>
    </w:p>
    <w:p>
      <w:pPr>
        <w:pStyle w:val="ListBullet"/>
      </w:pPr>
      <w:r>
        <w:t>Industry interaction</w:t>
      </w:r>
    </w:p>
    <w:p>
      <w:pPr>
        <w:pStyle w:val="ListBullet"/>
      </w:pPr>
      <w:r>
        <w:t>Placement assistance</w:t>
      </w:r>
    </w:p>
    <w:p/>
    <w:p>
      <w:pPr>
        <w:pStyle w:val="Heading1"/>
      </w:pPr>
      <w:r>
        <w:t>BLOCK 13 — CAREER OPPORTUNITIES AFTER ONLINE MBA</w:t>
      </w:r>
    </w:p>
    <w:p>
      <w:r>
        <w:rPr>
          <w:b/>
        </w:rPr>
        <w:t xml:space="preserve">BLOCK PURPOSE: </w:t>
      </w:r>
      <w:r>
        <w:t>Target career-intent searches.</w:t>
      </w:r>
    </w:p>
    <w:p>
      <w:r>
        <w:t>Graduates can explore opportunities across banking and finance, IT, consulting, healthcare, retail, manufacturing, e-commerce and startups. The role selected will depend on specialization, skills and professional experience.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Job Role</w:t>
            </w:r>
          </w:p>
        </w:tc>
        <w:tc>
          <w:tcPr>
            <w:tcW w:type="dxa" w:w="5112"/>
            <w:vAlign w:val="center"/>
          </w:tcPr>
          <w:p>
            <w:r>
              <w:rPr>
                <w:b/>
              </w:rPr>
              <w:t>Salary Range Mentioned in Source*</w:t>
            </w:r>
          </w:p>
        </w:tc>
      </w:tr>
      <w:tr>
        <w:tc>
          <w:tcPr>
            <w:tcW w:type="dxa" w:w="5112"/>
            <w:vAlign w:val="center"/>
          </w:tcPr>
          <w:p>
            <w:r>
              <w:t>Marketing Manager</w:t>
            </w:r>
          </w:p>
        </w:tc>
        <w:tc>
          <w:tcPr>
            <w:tcW w:type="dxa" w:w="5112"/>
            <w:vAlign w:val="center"/>
          </w:tcPr>
          <w:p>
            <w:r>
              <w:t>₹6–12 LPA</w:t>
            </w:r>
          </w:p>
        </w:tc>
      </w:tr>
      <w:tr>
        <w:tc>
          <w:tcPr>
            <w:tcW w:type="dxa" w:w="5112"/>
            <w:vAlign w:val="center"/>
          </w:tcPr>
          <w:p>
            <w:r>
              <w:t>HR Manager</w:t>
            </w:r>
          </w:p>
        </w:tc>
        <w:tc>
          <w:tcPr>
            <w:tcW w:type="dxa" w:w="5112"/>
            <w:vAlign w:val="center"/>
          </w:tcPr>
          <w:p>
            <w:r>
              <w:t>₹5–10 LPA</w:t>
            </w:r>
          </w:p>
        </w:tc>
      </w:tr>
      <w:tr>
        <w:tc>
          <w:tcPr>
            <w:tcW w:type="dxa" w:w="5112"/>
            <w:vAlign w:val="center"/>
          </w:tcPr>
          <w:p>
            <w:r>
              <w:t>Financial Analyst</w:t>
            </w:r>
          </w:p>
        </w:tc>
        <w:tc>
          <w:tcPr>
            <w:tcW w:type="dxa" w:w="5112"/>
            <w:vAlign w:val="center"/>
          </w:tcPr>
          <w:p>
            <w:r>
              <w:t>₹5–11 LPA</w:t>
            </w:r>
          </w:p>
        </w:tc>
      </w:tr>
      <w:tr>
        <w:tc>
          <w:tcPr>
            <w:tcW w:type="dxa" w:w="5112"/>
            <w:vAlign w:val="center"/>
          </w:tcPr>
          <w:p>
            <w:r>
              <w:t>Business Analyst</w:t>
            </w:r>
          </w:p>
        </w:tc>
        <w:tc>
          <w:tcPr>
            <w:tcW w:type="dxa" w:w="5112"/>
            <w:vAlign w:val="center"/>
          </w:tcPr>
          <w:p>
            <w:r>
              <w:t>₹6–12 LPA</w:t>
            </w:r>
          </w:p>
        </w:tc>
      </w:tr>
      <w:tr>
        <w:tc>
          <w:tcPr>
            <w:tcW w:type="dxa" w:w="5112"/>
            <w:vAlign w:val="center"/>
          </w:tcPr>
          <w:p>
            <w:r>
              <w:t>Operations Manager</w:t>
            </w:r>
          </w:p>
        </w:tc>
        <w:tc>
          <w:tcPr>
            <w:tcW w:type="dxa" w:w="5112"/>
            <w:vAlign w:val="center"/>
          </w:tcPr>
          <w:p>
            <w:r>
              <w:t>₹7–14 LPA</w:t>
            </w:r>
          </w:p>
        </w:tc>
      </w:tr>
      <w:tr>
        <w:tc>
          <w:tcPr>
            <w:tcW w:type="dxa" w:w="5112"/>
            <w:vAlign w:val="center"/>
          </w:tcPr>
          <w:p>
            <w:r>
              <w:t>Sales Manager</w:t>
            </w:r>
          </w:p>
        </w:tc>
        <w:tc>
          <w:tcPr>
            <w:tcW w:type="dxa" w:w="5112"/>
            <w:vAlign w:val="center"/>
          </w:tcPr>
          <w:p>
            <w:r>
              <w:t>₹6–12 LPA</w:t>
            </w:r>
          </w:p>
        </w:tc>
      </w:tr>
      <w:tr>
        <w:tc>
          <w:tcPr>
            <w:tcW w:type="dxa" w:w="5112"/>
            <w:vAlign w:val="center"/>
          </w:tcPr>
          <w:p>
            <w:r>
              <w:t>Project Manager</w:t>
            </w:r>
          </w:p>
        </w:tc>
        <w:tc>
          <w:tcPr>
            <w:tcW w:type="dxa" w:w="5112"/>
            <w:vAlign w:val="center"/>
          </w:tcPr>
          <w:p>
            <w:r>
              <w:t>₹8–18 LPA</w:t>
            </w:r>
          </w:p>
        </w:tc>
      </w:tr>
    </w:tbl>
    <w:p/>
    <w:p>
      <w:r>
        <w:t>*Indicative source-provided ranges, not guarantees. Actual compensation varies by experience, skills, organization and location.</w:t>
      </w:r>
    </w:p>
    <w:p>
      <w:pPr>
        <w:pStyle w:val="Heading1"/>
      </w:pPr>
      <w:r>
        <w:t>BLOCK 14 — WHO SHOULD PURSUE THIS ONLINE MBA?</w:t>
      </w:r>
    </w:p>
    <w:p>
      <w:r>
        <w:rPr>
          <w:b/>
        </w:rPr>
        <w:t xml:space="preserve">BLOCK PURPOSE: </w:t>
      </w:r>
      <w:r>
        <w:t>Audience-fit section.</w:t>
      </w:r>
    </w:p>
    <w:p>
      <w:pPr>
        <w:pStyle w:val="ListBullet"/>
      </w:pPr>
      <w:r>
        <w:t>Working professionals seeking career advancement without leaving employment.</w:t>
      </w:r>
    </w:p>
    <w:p>
      <w:pPr>
        <w:pStyle w:val="ListBullet"/>
      </w:pPr>
      <w:r>
        <w:t>Fresh graduates planning a management career.</w:t>
      </w:r>
    </w:p>
    <w:p>
      <w:pPr>
        <w:pStyle w:val="ListBullet"/>
      </w:pPr>
      <w:r>
        <w:t>Entrepreneurs wanting stronger business-management knowledge.</w:t>
      </w:r>
    </w:p>
    <w:p>
      <w:pPr>
        <w:pStyle w:val="ListBullet"/>
      </w:pPr>
      <w:r>
        <w:t>Professionals targeting leadership or managerial responsibilities.</w:t>
      </w:r>
    </w:p>
    <w:p>
      <w:pPr>
        <w:pStyle w:val="ListBullet"/>
      </w:pPr>
      <w:r>
        <w:t>Learners considering a transition into management-oriented functions.</w:t>
      </w:r>
    </w:p>
    <w:p>
      <w:pPr>
        <w:pStyle w:val="ListBullet"/>
      </w:pPr>
      <w:r>
        <w:t>Aspirants preparing for managerial roles across industries.</w:t>
      </w:r>
    </w:p>
    <w:p/>
    <w:p>
      <w:pPr>
        <w:pStyle w:val="Heading1"/>
      </w:pPr>
      <w:r>
        <w:t>BLOCK 15 — ONLINE MBA VS REGULAR MBA</w:t>
      </w:r>
    </w:p>
    <w:p>
      <w:r>
        <w:rPr>
          <w:b/>
        </w:rPr>
        <w:t xml:space="preserve">BLOCK PURPOSE: </w:t>
      </w:r>
      <w:r>
        <w:t>Decision-support comparison.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Feature</w:t>
            </w:r>
          </w:p>
        </w:tc>
        <w:tc>
          <w:tcPr>
            <w:tcW w:type="dxa" w:w="3408"/>
            <w:vAlign w:val="center"/>
          </w:tcPr>
          <w:p>
            <w:r>
              <w:rPr>
                <w:b/>
              </w:rPr>
              <w:t>Online MBA</w:t>
            </w:r>
          </w:p>
        </w:tc>
        <w:tc>
          <w:tcPr>
            <w:tcW w:type="dxa" w:w="3408"/>
            <w:vAlign w:val="center"/>
          </w:tcPr>
          <w:p>
            <w:r>
              <w:rPr>
                <w:b/>
              </w:rPr>
              <w:t>Regular MBA</w:t>
            </w:r>
          </w:p>
        </w:tc>
      </w:tr>
      <w:tr>
        <w:tc>
          <w:tcPr>
            <w:tcW w:type="dxa" w:w="3408"/>
            <w:vAlign w:val="center"/>
          </w:tcPr>
          <w:p>
            <w:r>
              <w:t>Learning Mode</w:t>
            </w:r>
          </w:p>
        </w:tc>
        <w:tc>
          <w:tcPr>
            <w:tcW w:type="dxa" w:w="3408"/>
            <w:vAlign w:val="center"/>
          </w:tcPr>
          <w:p>
            <w:r>
              <w:t>Online</w:t>
            </w:r>
          </w:p>
        </w:tc>
        <w:tc>
          <w:tcPr>
            <w:tcW w:type="dxa" w:w="3408"/>
            <w:vAlign w:val="center"/>
          </w:tcPr>
          <w:p>
            <w:r>
              <w:t>Classroom</w:t>
            </w:r>
          </w:p>
        </w:tc>
      </w:tr>
      <w:tr>
        <w:tc>
          <w:tcPr>
            <w:tcW w:type="dxa" w:w="3408"/>
            <w:vAlign w:val="center"/>
          </w:tcPr>
          <w:p>
            <w:r>
              <w:t>Flexibility</w:t>
            </w:r>
          </w:p>
        </w:tc>
        <w:tc>
          <w:tcPr>
            <w:tcW w:type="dxa" w:w="3408"/>
            <w:vAlign w:val="center"/>
          </w:tcPr>
          <w:p>
            <w:r>
              <w:t>High</w:t>
            </w:r>
          </w:p>
        </w:tc>
        <w:tc>
          <w:tcPr>
            <w:tcW w:type="dxa" w:w="3408"/>
            <w:vAlign w:val="center"/>
          </w:tcPr>
          <w:p>
            <w:r>
              <w:t>Limited</w:t>
            </w:r>
          </w:p>
        </w:tc>
      </w:tr>
      <w:tr>
        <w:tc>
          <w:tcPr>
            <w:tcW w:type="dxa" w:w="3408"/>
            <w:vAlign w:val="center"/>
          </w:tcPr>
          <w:p>
            <w:r>
              <w:t>Working Professionals</w:t>
            </w:r>
          </w:p>
        </w:tc>
        <w:tc>
          <w:tcPr>
            <w:tcW w:type="dxa" w:w="3408"/>
            <w:vAlign w:val="center"/>
          </w:tcPr>
          <w:p>
            <w:r>
              <w:t>Yes</w:t>
            </w:r>
          </w:p>
        </w:tc>
        <w:tc>
          <w:tcPr>
            <w:tcW w:type="dxa" w:w="3408"/>
            <w:vAlign w:val="center"/>
          </w:tcPr>
          <w:p>
            <w:r>
              <w:t>Generally difficult alongside full-time study</w:t>
            </w:r>
          </w:p>
        </w:tc>
      </w:tr>
      <w:tr>
        <w:tc>
          <w:tcPr>
            <w:tcW w:type="dxa" w:w="3408"/>
            <w:vAlign w:val="center"/>
          </w:tcPr>
          <w:p>
            <w:r>
              <w:t>Location</w:t>
            </w:r>
          </w:p>
        </w:tc>
        <w:tc>
          <w:tcPr>
            <w:tcW w:type="dxa" w:w="3408"/>
            <w:vAlign w:val="center"/>
          </w:tcPr>
          <w:p>
            <w:r>
              <w:t>Study from anywhere</w:t>
            </w:r>
          </w:p>
        </w:tc>
        <w:tc>
          <w:tcPr>
            <w:tcW w:type="dxa" w:w="3408"/>
            <w:vAlign w:val="center"/>
          </w:tcPr>
          <w:p>
            <w:r>
              <w:t>Campus attendance required</w:t>
            </w:r>
          </w:p>
        </w:tc>
      </w:tr>
      <w:tr>
        <w:tc>
          <w:tcPr>
            <w:tcW w:type="dxa" w:w="3408"/>
            <w:vAlign w:val="center"/>
          </w:tcPr>
          <w:p>
            <w:r>
              <w:t>Schedule</w:t>
            </w:r>
          </w:p>
        </w:tc>
        <w:tc>
          <w:tcPr>
            <w:tcW w:type="dxa" w:w="3408"/>
            <w:vAlign w:val="center"/>
          </w:tcPr>
          <w:p>
            <w:r>
              <w:t>Flexible</w:t>
            </w:r>
          </w:p>
        </w:tc>
        <w:tc>
          <w:tcPr>
            <w:tcW w:type="dxa" w:w="3408"/>
            <w:vAlign w:val="center"/>
          </w:tcPr>
          <w:p>
            <w:r>
              <w:t>Fixed timetable</w:t>
            </w:r>
          </w:p>
        </w:tc>
      </w:tr>
      <w:tr>
        <w:tc>
          <w:tcPr>
            <w:tcW w:type="dxa" w:w="3408"/>
            <w:vAlign w:val="center"/>
          </w:tcPr>
          <w:p>
            <w:r>
              <w:t>Cost</w:t>
            </w:r>
          </w:p>
        </w:tc>
        <w:tc>
          <w:tcPr>
            <w:tcW w:type="dxa" w:w="3408"/>
            <w:vAlign w:val="center"/>
          </w:tcPr>
          <w:p>
            <w:r>
              <w:t>Generally more affordable</w:t>
            </w:r>
          </w:p>
        </w:tc>
        <w:tc>
          <w:tcPr>
            <w:tcW w:type="dxa" w:w="3408"/>
            <w:vAlign w:val="center"/>
          </w:tcPr>
          <w:p>
            <w:r>
              <w:t>Usually higher</w:t>
            </w:r>
          </w:p>
        </w:tc>
      </w:tr>
      <w:tr>
        <w:tc>
          <w:tcPr>
            <w:tcW w:type="dxa" w:w="3408"/>
            <w:vAlign w:val="center"/>
          </w:tcPr>
          <w:p>
            <w:r>
              <w:t>Campus Networking</w:t>
            </w:r>
          </w:p>
        </w:tc>
        <w:tc>
          <w:tcPr>
            <w:tcW w:type="dxa" w:w="3408"/>
            <w:vAlign w:val="center"/>
          </w:tcPr>
          <w:p>
            <w:r>
              <w:t>More limited</w:t>
            </w:r>
          </w:p>
        </w:tc>
        <w:tc>
          <w:tcPr>
            <w:tcW w:type="dxa" w:w="3408"/>
            <w:vAlign w:val="center"/>
          </w:tcPr>
          <w:p>
            <w:r>
              <w:t>Generally stronger</w:t>
            </w:r>
          </w:p>
        </w:tc>
      </w:tr>
    </w:tbl>
    <w:p/>
    <w:p>
      <w:pPr>
        <w:pStyle w:val="Heading1"/>
      </w:pPr>
      <w:r>
        <w:t>BLOCK 16 — ADVANTAGES &amp; CONSIDERATIONS</w:t>
      </w:r>
    </w:p>
    <w:p>
      <w:r>
        <w:rPr>
          <w:b/>
        </w:rPr>
        <w:t xml:space="preserve">BLOCK PURPOSE: </w:t>
      </w:r>
      <w:r>
        <w:t>Balanced decision-support content.</w:t>
      </w:r>
    </w:p>
    <w:p>
      <w:r>
        <w:t>Advantages: Flexible study format; can be combined with work; access to live and recorded resources; business-focused curriculum and specialization options; career-support initiatives.</w:t>
      </w:r>
    </w:p>
    <w:p>
      <w:r>
        <w:t>Considerations: Online learning requires self-discipline; campus interaction may be more limited; career outcomes depend on skills and experience; reliable internet and a suitable device are important; current fees, eligibility and programme details should be verified before admission.</w:t>
      </w:r>
    </w:p>
    <w:p/>
    <w:p>
      <w:pPr>
        <w:pStyle w:val="Heading1"/>
      </w:pPr>
      <w:r>
        <w:t>BLOCK 17 — IS SHOOLINI UNIVERSITY ONLINE MBA WORTH IT?</w:t>
      </w:r>
    </w:p>
    <w:p>
      <w:r>
        <w:rPr>
          <w:b/>
        </w:rPr>
        <w:t xml:space="preserve">BLOCK PURPOSE: </w:t>
      </w:r>
      <w:r>
        <w:t>ROI/decision section.</w:t>
      </w:r>
    </w:p>
    <w:p>
      <w:r>
        <w:t>The Shoolini University Online MBA can be a practical option for learners who value flexibility and want postgraduate management education without a conventional campus schedule. Its online learning model, specialization choices, academic support and career-oriented services can suit working professionals and fresh graduates.</w:t>
      </w:r>
    </w:p>
    <w:p>
      <w:r>
        <w:t>Whether it is the right choice depends on budget, specialization, career objective, learning discipline and the latest programme conditions. Prospective students should compare current fee, eligibility, curriculum, support services and recognition details before enrolling.</w:t>
      </w:r>
    </w:p>
    <w:p/>
    <w:p>
      <w:pPr>
        <w:pStyle w:val="Heading1"/>
      </w:pPr>
      <w:r>
        <w:t>BLOCK 18 — FAQ BLOCK</w:t>
      </w:r>
    </w:p>
    <w:p>
      <w:r>
        <w:rPr>
          <w:b/>
        </w:rPr>
        <w:t xml:space="preserve">BLOCK PURPOSE: </w:t>
      </w:r>
      <w:r>
        <w:t>Long-tail FAQ accordion.</w:t>
      </w:r>
    </w:p>
    <w:p>
      <w:pPr>
        <w:pStyle w:val="ListBullet"/>
      </w:pPr>
      <w:r>
        <w:t>What is the duration of Shoolini University Online MBA? — The supplied content states 2 years.</w:t>
      </w:r>
    </w:p>
    <w:p>
      <w:pPr>
        <w:pStyle w:val="ListBullet"/>
      </w:pPr>
      <w:r>
        <w:t>Who is eligible? — The supplied content states that graduates with a bachelor’s or master’s degree from a recognized/accredited university can be considered, subject to current rules.</w:t>
      </w:r>
    </w:p>
    <w:p>
      <w:pPr>
        <w:pStyle w:val="ListBullet"/>
      </w:pPr>
      <w:r>
        <w:t>Is it suitable for working professionals? — Yes; it is presented as a flexible online format designed to accommodate work and other commitments.</w:t>
      </w:r>
    </w:p>
    <w:p>
      <w:pPr>
        <w:pStyle w:val="ListBullet"/>
      </w:pPr>
      <w:r>
        <w:t>What specializations are listed? — Marketing Management, Finance Management, Human Resource Management, Business Analytics, Digital Marketing, Operations Management and International Business.</w:t>
      </w:r>
    </w:p>
    <w:p>
      <w:pPr>
        <w:pStyle w:val="ListBullet"/>
      </w:pPr>
      <w:r>
        <w:t>How is the course delivered? — Live classes, recorded lectures, digital resources, assignments, case discussions, doubt-clearing and online assessments as applicable.</w:t>
      </w:r>
    </w:p>
    <w:p>
      <w:pPr>
        <w:pStyle w:val="ListBullet"/>
      </w:pPr>
      <w:r>
        <w:t>Does the university provide placement support? — The supplied content states career and placement assistance is available; this should not be presented as a guaranteed job.</w:t>
      </w:r>
    </w:p>
    <w:p>
      <w:pPr>
        <w:pStyle w:val="ListBullet"/>
      </w:pPr>
      <w:r>
        <w:t>What is the exact fee? — The supplied source does not provide a confirmed current amount; verify the latest fee notification.</w:t>
      </w:r>
    </w:p>
    <w:p>
      <w:pPr>
        <w:pStyle w:val="ListBullet"/>
      </w:pPr>
      <w:r>
        <w:t>What documents are required? — Graduation marksheets/degree, government ID, photograph, signature and applicable category/other documents.</w:t>
      </w:r>
    </w:p>
    <w:p/>
    <w:p>
      <w:pPr>
        <w:pStyle w:val="Heading1"/>
      </w:pPr>
      <w:r>
        <w:t>BLOCK 19 — FINAL CONCLUSION</w:t>
      </w:r>
    </w:p>
    <w:p>
      <w:r>
        <w:rPr>
          <w:b/>
        </w:rPr>
        <w:t xml:space="preserve">BLOCK PURPOSE: </w:t>
      </w:r>
      <w:r>
        <w:t>Close with a strong course-specific summary.</w:t>
      </w:r>
    </w:p>
    <w:p>
      <w:r>
        <w:t>Shoolini University Online MBA is positioned as a flexible postgraduate management programme for graduates, working professionals, entrepreneurs and career changers. With online classes, recorded learning resources, management-focused subjects, specialization options and career-support initiatives, it can help learners build business knowledge while continuing existing commitments.</w:t>
      </w:r>
    </w:p>
    <w:p>
      <w:r>
        <w:t>Before taking admission, compare the current eligibility conditions, fee structure, specialization availability, syllabus and admission requirements for your session. Once these match your career objective and budget, proceed through the official admission process.</w:t>
      </w:r>
    </w:p>
    <w:p/>
    <w:p>
      <w:pPr>
        <w:pStyle w:val="Heading1"/>
      </w:pPr>
      <w:r>
        <w:t>BLOCK 20 — PRIMARY CTA / COUNSELLING</w:t>
      </w:r>
    </w:p>
    <w:p>
      <w:r>
        <w:rPr>
          <w:b/>
        </w:rPr>
        <w:t xml:space="preserve">BLOCK PURPOSE: </w:t>
      </w:r>
      <w:r>
        <w:t>Conversion block.</w:t>
      </w:r>
    </w:p>
    <w:p>
      <w:pPr>
        <w:pStyle w:val="ListBullet"/>
      </w:pPr>
      <w:r>
        <w:t>Check Online MBA eligibility.</w:t>
      </w:r>
    </w:p>
    <w:p>
      <w:pPr>
        <w:pStyle w:val="ListBullet"/>
      </w:pPr>
      <w:r>
        <w:t>Compare available specializations.</w:t>
      </w:r>
    </w:p>
    <w:p>
      <w:pPr>
        <w:pStyle w:val="ListBullet"/>
      </w:pPr>
      <w:r>
        <w:t>Check the latest fee and scholarship information.</w:t>
      </w:r>
    </w:p>
    <w:p>
      <w:pPr>
        <w:pStyle w:val="ListBullet"/>
      </w:pPr>
      <w:r>
        <w:t>Understand the admission process and required documents.</w:t>
      </w:r>
    </w:p>
    <w:p>
      <w:pPr>
        <w:pStyle w:val="ListBullet"/>
      </w:pPr>
      <w:r>
        <w:t>Speak to a counsellor before making an admission decision.</w:t>
      </w:r>
    </w:p>
    <w:p/>
    <w:p>
      <w:r>
        <w:t>CTA OPTIONS: “Check Online MBA Eligibility” | “Get Fee &amp; Admission Guidance” | “Talk to an MBA Counsellor”</w:t>
      </w:r>
    </w:p>
    <w:p>
      <w:pPr>
        <w:pStyle w:val="Heading1"/>
      </w:pPr>
      <w:r>
        <w:t>BLOCK 21 — VENDOR / CMS IMPLEMENTATION MAP</w:t>
      </w:r>
    </w:p>
    <w:p>
      <w:r>
        <w:rPr>
          <w:b/>
        </w:rPr>
        <w:t xml:space="preserve">BLOCK PURPOSE: </w:t>
      </w:r>
      <w:r>
        <w:t>Convert each block into the corresponding website component.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Block</w:t>
            </w:r>
          </w:p>
        </w:tc>
        <w:tc>
          <w:tcPr>
            <w:tcW w:type="dxa" w:w="5112"/>
            <w:vAlign w:val="center"/>
          </w:tcPr>
          <w:p>
            <w:r>
              <w:rPr>
                <w:b/>
              </w:rPr>
              <w:t>Recommended UI</w:t>
            </w:r>
          </w:p>
        </w:tc>
      </w:tr>
      <w:tr>
        <w:tc>
          <w:tcPr>
            <w:tcW w:type="dxa" w:w="5112"/>
            <w:vAlign w:val="center"/>
          </w:tcPr>
          <w:p>
            <w:r>
              <w:t>01</w:t>
            </w:r>
          </w:p>
        </w:tc>
        <w:tc>
          <w:tcPr>
            <w:tcW w:type="dxa" w:w="5112"/>
            <w:vAlign w:val="center"/>
          </w:tcPr>
          <w:p>
            <w:r>
              <w:t>Hero + primary CTA</w:t>
            </w:r>
          </w:p>
        </w:tc>
      </w:tr>
      <w:tr>
        <w:tc>
          <w:tcPr>
            <w:tcW w:type="dxa" w:w="5112"/>
            <w:vAlign w:val="center"/>
          </w:tcPr>
          <w:p>
            <w:r>
              <w:t>02</w:t>
            </w:r>
          </w:p>
        </w:tc>
        <w:tc>
          <w:tcPr>
            <w:tcW w:type="dxa" w:w="5112"/>
            <w:vAlign w:val="center"/>
          </w:tcPr>
          <w:p>
            <w:r>
              <w:t>Course overview</w:t>
            </w:r>
          </w:p>
        </w:tc>
      </w:tr>
      <w:tr>
        <w:tc>
          <w:tcPr>
            <w:tcW w:type="dxa" w:w="5112"/>
            <w:vAlign w:val="center"/>
          </w:tcPr>
          <w:p>
            <w:r>
              <w:t>03</w:t>
            </w:r>
          </w:p>
        </w:tc>
        <w:tc>
          <w:tcPr>
            <w:tcW w:type="dxa" w:w="5112"/>
            <w:vAlign w:val="center"/>
          </w:tcPr>
          <w:p>
            <w:r>
              <w:t>Quick-facts cards</w:t>
            </w:r>
          </w:p>
        </w:tc>
      </w:tr>
      <w:tr>
        <w:tc>
          <w:tcPr>
            <w:tcW w:type="dxa" w:w="5112"/>
            <w:vAlign w:val="center"/>
          </w:tcPr>
          <w:p>
            <w:r>
              <w:t>04</w:t>
            </w:r>
          </w:p>
        </w:tc>
        <w:tc>
          <w:tcPr>
            <w:tcW w:type="dxa" w:w="5112"/>
            <w:vAlign w:val="center"/>
          </w:tcPr>
          <w:p>
            <w:r>
              <w:t>USP icon cards</w:t>
            </w:r>
          </w:p>
        </w:tc>
      </w:tr>
      <w:tr>
        <w:tc>
          <w:tcPr>
            <w:tcW w:type="dxa" w:w="5112"/>
            <w:vAlign w:val="center"/>
          </w:tcPr>
          <w:p>
            <w:r>
              <w:t>05</w:t>
            </w:r>
          </w:p>
        </w:tc>
        <w:tc>
          <w:tcPr>
            <w:tcW w:type="dxa" w:w="5112"/>
            <w:vAlign w:val="center"/>
          </w:tcPr>
          <w:p>
            <w:r>
              <w:t>Specialization cards</w:t>
            </w:r>
          </w:p>
        </w:tc>
      </w:tr>
      <w:tr>
        <w:tc>
          <w:tcPr>
            <w:tcW w:type="dxa" w:w="5112"/>
            <w:vAlign w:val="center"/>
          </w:tcPr>
          <w:p>
            <w:r>
              <w:t>06</w:t>
            </w:r>
          </w:p>
        </w:tc>
        <w:tc>
          <w:tcPr>
            <w:tcW w:type="dxa" w:w="5112"/>
            <w:vAlign w:val="center"/>
          </w:tcPr>
          <w:p>
            <w:r>
              <w:t>Eligibility table/checklist</w:t>
            </w:r>
          </w:p>
        </w:tc>
      </w:tr>
      <w:tr>
        <w:tc>
          <w:tcPr>
            <w:tcW w:type="dxa" w:w="5112"/>
            <w:vAlign w:val="center"/>
          </w:tcPr>
          <w:p>
            <w:r>
              <w:t>07</w:t>
            </w:r>
          </w:p>
        </w:tc>
        <w:tc>
          <w:tcPr>
            <w:tcW w:type="dxa" w:w="5112"/>
            <w:vAlign w:val="center"/>
          </w:tcPr>
          <w:p>
            <w:r>
              <w:t>Admission stepper</w:t>
            </w:r>
          </w:p>
        </w:tc>
      </w:tr>
      <w:tr>
        <w:tc>
          <w:tcPr>
            <w:tcW w:type="dxa" w:w="5112"/>
            <w:vAlign w:val="center"/>
          </w:tcPr>
          <w:p>
            <w:r>
              <w:t>08</w:t>
            </w:r>
          </w:p>
        </w:tc>
        <w:tc>
          <w:tcPr>
            <w:tcW w:type="dxa" w:w="5112"/>
            <w:vAlign w:val="center"/>
          </w:tcPr>
          <w:p>
            <w:r>
              <w:t>Document checklist</w:t>
            </w:r>
          </w:p>
        </w:tc>
      </w:tr>
      <w:tr>
        <w:tc>
          <w:tcPr>
            <w:tcW w:type="dxa" w:w="5112"/>
            <w:vAlign w:val="center"/>
          </w:tcPr>
          <w:p>
            <w:r>
              <w:t>09</w:t>
            </w:r>
          </w:p>
        </w:tc>
        <w:tc>
          <w:tcPr>
            <w:tcW w:type="dxa" w:w="5112"/>
            <w:vAlign w:val="center"/>
          </w:tcPr>
          <w:p>
            <w:r>
              <w:t>Fee table + disclaimer</w:t>
            </w:r>
          </w:p>
        </w:tc>
      </w:tr>
      <w:tr>
        <w:tc>
          <w:tcPr>
            <w:tcW w:type="dxa" w:w="5112"/>
            <w:vAlign w:val="center"/>
          </w:tcPr>
          <w:p>
            <w:r>
              <w:t>10</w:t>
            </w:r>
          </w:p>
        </w:tc>
        <w:tc>
          <w:tcPr>
            <w:tcW w:type="dxa" w:w="5112"/>
            <w:vAlign w:val="center"/>
          </w:tcPr>
          <w:p>
            <w:r>
              <w:t>Learning-methodology grid</w:t>
            </w:r>
          </w:p>
        </w:tc>
      </w:tr>
      <w:tr>
        <w:tc>
          <w:tcPr>
            <w:tcW w:type="dxa" w:w="5112"/>
            <w:vAlign w:val="center"/>
          </w:tcPr>
          <w:p>
            <w:r>
              <w:t>11</w:t>
            </w:r>
          </w:p>
        </w:tc>
        <w:tc>
          <w:tcPr>
            <w:tcW w:type="dxa" w:w="5112"/>
            <w:vAlign w:val="center"/>
          </w:tcPr>
          <w:p>
            <w:r>
              <w:t>Curriculum table/cards</w:t>
            </w:r>
          </w:p>
        </w:tc>
      </w:tr>
      <w:tr>
        <w:tc>
          <w:tcPr>
            <w:tcW w:type="dxa" w:w="5112"/>
            <w:vAlign w:val="center"/>
          </w:tcPr>
          <w:p>
            <w:r>
              <w:t>12</w:t>
            </w:r>
          </w:p>
        </w:tc>
        <w:tc>
          <w:tcPr>
            <w:tcW w:type="dxa" w:w="5112"/>
            <w:vAlign w:val="center"/>
          </w:tcPr>
          <w:p>
            <w:r>
              <w:t>Career-support cards</w:t>
            </w:r>
          </w:p>
        </w:tc>
      </w:tr>
      <w:tr>
        <w:tc>
          <w:tcPr>
            <w:tcW w:type="dxa" w:w="5112"/>
            <w:vAlign w:val="center"/>
          </w:tcPr>
          <w:p>
            <w:r>
              <w:t>13</w:t>
            </w:r>
          </w:p>
        </w:tc>
        <w:tc>
          <w:tcPr>
            <w:tcW w:type="dxa" w:w="5112"/>
            <w:vAlign w:val="center"/>
          </w:tcPr>
          <w:p>
            <w:r>
              <w:t>Career roles + salary table</w:t>
            </w:r>
          </w:p>
        </w:tc>
      </w:tr>
      <w:tr>
        <w:tc>
          <w:tcPr>
            <w:tcW w:type="dxa" w:w="5112"/>
            <w:vAlign w:val="center"/>
          </w:tcPr>
          <w:p>
            <w:r>
              <w:t>14</w:t>
            </w:r>
          </w:p>
        </w:tc>
        <w:tc>
          <w:tcPr>
            <w:tcW w:type="dxa" w:w="5112"/>
            <w:vAlign w:val="center"/>
          </w:tcPr>
          <w:p>
            <w:r>
              <w:t>Audience-fit cards</w:t>
            </w:r>
          </w:p>
        </w:tc>
      </w:tr>
      <w:tr>
        <w:tc>
          <w:tcPr>
            <w:tcW w:type="dxa" w:w="5112"/>
            <w:vAlign w:val="center"/>
          </w:tcPr>
          <w:p>
            <w:r>
              <w:t>15</w:t>
            </w:r>
          </w:p>
        </w:tc>
        <w:tc>
          <w:tcPr>
            <w:tcW w:type="dxa" w:w="5112"/>
            <w:vAlign w:val="center"/>
          </w:tcPr>
          <w:p>
            <w:r>
              <w:t>Online vs regular comparison</w:t>
            </w:r>
          </w:p>
        </w:tc>
      </w:tr>
      <w:tr>
        <w:tc>
          <w:tcPr>
            <w:tcW w:type="dxa" w:w="5112"/>
            <w:vAlign w:val="center"/>
          </w:tcPr>
          <w:p>
            <w:r>
              <w:t>16</w:t>
            </w:r>
          </w:p>
        </w:tc>
        <w:tc>
          <w:tcPr>
            <w:tcW w:type="dxa" w:w="5112"/>
            <w:vAlign w:val="center"/>
          </w:tcPr>
          <w:p>
            <w:r>
              <w:t>Pros &amp; considerations</w:t>
            </w:r>
          </w:p>
        </w:tc>
      </w:tr>
      <w:tr>
        <w:tc>
          <w:tcPr>
            <w:tcW w:type="dxa" w:w="5112"/>
            <w:vAlign w:val="center"/>
          </w:tcPr>
          <w:p>
            <w:r>
              <w:t>17</w:t>
            </w:r>
          </w:p>
        </w:tc>
        <w:tc>
          <w:tcPr>
            <w:tcW w:type="dxa" w:w="5112"/>
            <w:vAlign w:val="center"/>
          </w:tcPr>
          <w:p>
            <w:r>
              <w:t>Worth-it/decision section</w:t>
            </w:r>
          </w:p>
        </w:tc>
      </w:tr>
      <w:tr>
        <w:tc>
          <w:tcPr>
            <w:tcW w:type="dxa" w:w="5112"/>
            <w:vAlign w:val="center"/>
          </w:tcPr>
          <w:p>
            <w:r>
              <w:t>18</w:t>
            </w:r>
          </w:p>
        </w:tc>
        <w:tc>
          <w:tcPr>
            <w:tcW w:type="dxa" w:w="5112"/>
            <w:vAlign w:val="center"/>
          </w:tcPr>
          <w:p>
            <w:r>
              <w:t>FAQ accordion</w:t>
            </w:r>
          </w:p>
        </w:tc>
      </w:tr>
      <w:tr>
        <w:tc>
          <w:tcPr>
            <w:tcW w:type="dxa" w:w="5112"/>
            <w:vAlign w:val="center"/>
          </w:tcPr>
          <w:p>
            <w:r>
              <w:t>19</w:t>
            </w:r>
          </w:p>
        </w:tc>
        <w:tc>
          <w:tcPr>
            <w:tcW w:type="dxa" w:w="5112"/>
            <w:vAlign w:val="center"/>
          </w:tcPr>
          <w:p>
            <w:r>
              <w:t>Conclusion</w:t>
            </w:r>
          </w:p>
        </w:tc>
      </w:tr>
      <w:tr>
        <w:tc>
          <w:tcPr>
            <w:tcW w:type="dxa" w:w="5112"/>
            <w:vAlign w:val="center"/>
          </w:tcPr>
          <w:p>
            <w:r>
              <w:t>20</w:t>
            </w:r>
          </w:p>
        </w:tc>
        <w:tc>
          <w:tcPr>
            <w:tcW w:type="dxa" w:w="5112"/>
            <w:vAlign w:val="center"/>
          </w:tcPr>
          <w:p>
            <w:r>
              <w:t>CTA</w:t>
            </w:r>
          </w:p>
        </w:tc>
      </w:tr>
      <w:tr>
        <w:tc>
          <w:tcPr>
            <w:tcW w:type="dxa" w:w="5112"/>
            <w:vAlign w:val="center"/>
          </w:tcPr>
          <w:p>
            <w:r>
              <w:t>21</w:t>
            </w:r>
          </w:p>
        </w:tc>
        <w:tc>
          <w:tcPr>
            <w:tcW w:type="dxa" w:w="5112"/>
            <w:vAlign w:val="center"/>
          </w:tcPr>
          <w:p>
            <w:r>
              <w:t>CMS implementation map</w:t>
            </w:r>
          </w:p>
        </w:tc>
      </w:tr>
    </w:tbl>
    <w:p/>
    <w:p>
      <w:r>
        <w:t>SEO NOTE: Use “Shoolini University Online MBA” naturally with supporting phrases such as “Shoolini University Online MBA admission”, “Shoolini University Online MBA fees”, “Shoolini University Online MBA eligibility”, “Online MBA specializations”, “Online MBA curriculum” and “Online MBA career opportunities”. Avoid keyword stuffing and unsupported claims.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