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56"/>
        </w:rPr>
        <w:t>FINAL PROJECT REPORT</w:t>
      </w:r>
    </w:p>
    <w:p>
      <w:pPr>
        <w:jc w:val="center"/>
      </w:pPr>
      <w:r>
        <w:rPr>
          <w:b/>
          <w:sz w:val="40"/>
        </w:rPr>
        <w:t>Data Preprocessing and Feature Engineering</w:t>
      </w:r>
    </w:p>
    <w:p>
      <w:pPr>
        <w:jc w:val="center"/>
      </w:pPr>
      <w:r>
        <w:rPr>
          <w:i/>
          <w:sz w:val="30"/>
        </w:rPr>
        <w:t>Credit Risk Analysis</w:t>
      </w:r>
    </w:p>
    <w:p>
      <w:r>
        <w:br/>
      </w:r>
    </w:p>
    <w:p>
      <w:pPr>
        <w:jc w:val="center"/>
      </w:pPr>
      <w:r>
        <w:rPr>
          <w:sz w:val="22"/>
        </w:rPr>
        <w:t>Prepared from the HOLISTIC_DATA_PREPARER notebook</w:t>
        <w:br/>
      </w:r>
      <w:r>
        <w:rPr>
          <w:sz w:val="20"/>
        </w:rPr>
        <w:t>Topics: Missing Values • Outliers • Encoding • Scaling • Feature Engineering • ML Readiness</w:t>
      </w:r>
    </w:p>
    <w:p>
      <w:r>
        <w:br w:type="page"/>
      </w:r>
    </w:p>
    <w:p>
      <w:pPr>
        <w:pStyle w:val="Heading1"/>
      </w:pPr>
      <w:r>
        <w:t>1. Introduction</w:t>
      </w:r>
    </w:p>
    <w:p>
      <w:r>
        <w:t>The objective of this project was to perform end-to-end data preprocessing and feature engineering on a credit risk dataset. The workflow covered data acquisition and inspection, missing-value treatment, outlier detection and handling, categorical and numerical encoding, feature scaling, numerical transformations, and the creation of additional features. These steps are intended to improve data quality and prepare the data for machine-learning experimentation.</w:t>
      </w:r>
    </w:p>
    <w:p>
      <w:pPr>
        <w:pStyle w:val="Heading1"/>
      </w:pPr>
      <w:r>
        <w:t>2. Missing Value Handling Strategies and Effectiveness</w:t>
      </w:r>
    </w:p>
    <w:p>
      <w:r>
        <w:t>The notebook implements several missing-value strategies. The initial displayed missing counts were:</w:t>
      </w:r>
    </w:p>
    <w:tbl>
      <w:tblPr>
        <w:tblStyle w:val="LightShading-Accent1"/>
        <w:tblW w:type="auto" w:w="0"/>
        <w:tblLook w:firstColumn="1" w:firstRow="1" w:lastColumn="0" w:lastRow="0" w:noHBand="0" w:noVBand="1" w:val="04A0"/>
      </w:tblPr>
      <w:tblGrid>
        <w:gridCol w:w="4968"/>
        <w:gridCol w:w="4968"/>
      </w:tblGrid>
      <w:tr>
        <w:tc>
          <w:tcPr>
            <w:tcW w:type="dxa" w:w="4320"/>
          </w:tcPr>
          <w:p>
            <w:r>
              <w:t>Variable</w:t>
            </w:r>
          </w:p>
        </w:tc>
        <w:tc>
          <w:tcPr>
            <w:tcW w:type="dxa" w:w="4320"/>
          </w:tcPr>
          <w:p>
            <w:r>
              <w:t>Missing values before treatment</w:t>
            </w:r>
          </w:p>
        </w:tc>
      </w:tr>
      <w:tr>
        <w:tc>
          <w:tcPr>
            <w:tcW w:type="dxa" w:w="4320"/>
          </w:tcPr>
          <w:p>
            <w:r>
              <w:t>Age</w:t>
            </w:r>
          </w:p>
        </w:tc>
        <w:tc>
          <w:tcPr>
            <w:tcW w:type="dxa" w:w="4320"/>
          </w:tcPr>
          <w:p>
            <w:r>
              <w:t>50</w:t>
            </w:r>
          </w:p>
        </w:tc>
      </w:tr>
      <w:tr>
        <w:tc>
          <w:tcPr>
            <w:tcW w:type="dxa" w:w="4320"/>
          </w:tcPr>
          <w:p>
            <w:r>
              <w:t>Gender</w:t>
            </w:r>
          </w:p>
        </w:tc>
        <w:tc>
          <w:tcPr>
            <w:tcW w:type="dxa" w:w="4320"/>
          </w:tcPr>
          <w:p>
            <w:r>
              <w:t>40</w:t>
            </w:r>
          </w:p>
        </w:tc>
      </w:tr>
      <w:tr>
        <w:tc>
          <w:tcPr>
            <w:tcW w:type="dxa" w:w="4320"/>
          </w:tcPr>
          <w:p>
            <w:r>
              <w:t>Employment Type</w:t>
            </w:r>
          </w:p>
        </w:tc>
        <w:tc>
          <w:tcPr>
            <w:tcW w:type="dxa" w:w="4320"/>
          </w:tcPr>
          <w:p>
            <w:r>
              <w:t>60</w:t>
            </w:r>
          </w:p>
        </w:tc>
      </w:tr>
      <w:tr>
        <w:tc>
          <w:tcPr>
            <w:tcW w:type="dxa" w:w="4320"/>
          </w:tcPr>
          <w:p>
            <w:r>
              <w:t>Annual Income</w:t>
            </w:r>
          </w:p>
        </w:tc>
        <w:tc>
          <w:tcPr>
            <w:tcW w:type="dxa" w:w="4320"/>
          </w:tcPr>
          <w:p>
            <w:r>
              <w:t>80</w:t>
            </w:r>
          </w:p>
        </w:tc>
      </w:tr>
      <w:tr>
        <w:tc>
          <w:tcPr>
            <w:tcW w:type="dxa" w:w="4320"/>
          </w:tcPr>
          <w:p>
            <w:r>
              <w:t>Loan Amount</w:t>
            </w:r>
          </w:p>
        </w:tc>
        <w:tc>
          <w:tcPr>
            <w:tcW w:type="dxa" w:w="4320"/>
          </w:tcPr>
          <w:p>
            <w:r>
              <w:t>40</w:t>
            </w:r>
          </w:p>
        </w:tc>
      </w:tr>
    </w:tbl>
    <w:p/>
    <w:tbl>
      <w:tblPr>
        <w:tblStyle w:val="LightShading-Accent1"/>
        <w:tblW w:type="auto" w:w="0"/>
        <w:tblLook w:firstColumn="1" w:firstRow="1" w:lastColumn="0" w:lastRow="0" w:noHBand="0" w:noVBand="1" w:val="04A0"/>
      </w:tblPr>
      <w:tblGrid>
        <w:gridCol w:w="3312"/>
        <w:gridCol w:w="3312"/>
        <w:gridCol w:w="3312"/>
      </w:tblGrid>
      <w:tr>
        <w:tc>
          <w:tcPr>
            <w:tcW w:type="dxa" w:w="2016"/>
          </w:tcPr>
          <w:p>
            <w:r>
              <w:t>Strategy</w:t>
            </w:r>
          </w:p>
        </w:tc>
        <w:tc>
          <w:tcPr>
            <w:tcW w:type="dxa" w:w="3024"/>
          </w:tcPr>
          <w:p>
            <w:r>
              <w:t>Scope / variable</w:t>
            </w:r>
          </w:p>
        </w:tc>
        <w:tc>
          <w:tcPr>
            <w:tcW w:type="dxa" w:w="4608"/>
          </w:tcPr>
          <w:p>
            <w:r>
              <w:t>Effectiveness and notes</w:t>
            </w:r>
          </w:p>
        </w:tc>
      </w:tr>
      <w:tr>
        <w:tc>
          <w:tcPr>
            <w:tcW w:type="dxa" w:w="2016"/>
          </w:tcPr>
          <w:p>
            <w:r>
              <w:t>Mean imputation</w:t>
            </w:r>
          </w:p>
        </w:tc>
        <w:tc>
          <w:tcPr>
            <w:tcW w:type="dxa" w:w="3024"/>
          </w:tcPr>
          <w:p>
            <w:r>
              <w:t>Age</w:t>
            </w:r>
          </w:p>
        </w:tc>
        <w:tc>
          <w:tcPr>
            <w:tcW w:type="dxa" w:w="4608"/>
          </w:tcPr>
          <w:p>
            <w:r>
              <w:t>Filled missing values using the mean. The displayed follow-up output showed zero missing values in Age.</w:t>
            </w:r>
          </w:p>
        </w:tc>
      </w:tr>
      <w:tr>
        <w:tc>
          <w:tcPr>
            <w:tcW w:type="dxa" w:w="2016"/>
          </w:tcPr>
          <w:p>
            <w:r>
              <w:t>Most-frequent imputation</w:t>
            </w:r>
          </w:p>
        </w:tc>
        <w:tc>
          <w:tcPr>
            <w:tcW w:type="dxa" w:w="3024"/>
          </w:tcPr>
          <w:p>
            <w:r>
              <w:t>Gender</w:t>
            </w:r>
          </w:p>
        </w:tc>
        <w:tc>
          <w:tcPr>
            <w:tcW w:type="dxa" w:w="4608"/>
          </w:tcPr>
          <w:p>
            <w:r>
              <w:t>Filled missing values using the most frequent category. The displayed follow-up output showed zero missing values in Gender.</w:t>
            </w:r>
          </w:p>
        </w:tc>
      </w:tr>
      <w:tr>
        <w:tc>
          <w:tcPr>
            <w:tcW w:type="dxa" w:w="2016"/>
          </w:tcPr>
          <w:p>
            <w:r>
              <w:t>Most-frequent imputation</w:t>
            </w:r>
          </w:p>
        </w:tc>
        <w:tc>
          <w:tcPr>
            <w:tcW w:type="dxa" w:w="3024"/>
          </w:tcPr>
          <w:p>
            <w:r>
              <w:t>Employment Type</w:t>
            </w:r>
          </w:p>
        </w:tc>
        <w:tc>
          <w:tcPr>
            <w:tcW w:type="dxa" w:w="4608"/>
          </w:tcPr>
          <w:p>
            <w:r>
              <w:t>Filled missing values using the most frequent category. The displayed follow-up output showed zero missing values in Employment Type.</w:t>
            </w:r>
          </w:p>
        </w:tc>
      </w:tr>
      <w:tr>
        <w:tc>
          <w:tcPr>
            <w:tcW w:type="dxa" w:w="2016"/>
          </w:tcPr>
          <w:p>
            <w:r>
              <w:t>Missing indicators</w:t>
            </w:r>
          </w:p>
        </w:tc>
        <w:tc>
          <w:tcPr>
            <w:tcW w:type="dxa" w:w="3024"/>
          </w:tcPr>
          <w:p>
            <w:r>
              <w:t>Selected demographic / financial variables</w:t>
            </w:r>
          </w:p>
        </w:tc>
        <w:tc>
          <w:tcPr>
            <w:tcW w:type="dxa" w:w="4608"/>
          </w:tcPr>
          <w:p>
            <w:r>
              <w:t>Adds indicators of original missingness, retaining potentially useful information about which values were absent.</w:t>
            </w:r>
          </w:p>
        </w:tc>
      </w:tr>
      <w:tr>
        <w:tc>
          <w:tcPr>
            <w:tcW w:type="dxa" w:w="2016"/>
          </w:tcPr>
          <w:p>
            <w:r>
              <w:t>KNN imputation</w:t>
            </w:r>
          </w:p>
        </w:tc>
        <w:tc>
          <w:tcPr>
            <w:tcW w:type="dxa" w:w="3024"/>
          </w:tcPr>
          <w:p>
            <w:r>
              <w:t>Numerical demographic / financial columns and numerical API columns</w:t>
            </w:r>
          </w:p>
        </w:tc>
        <w:tc>
          <w:tcPr>
            <w:tcW w:type="dxa" w:w="4608"/>
          </w:tcPr>
          <w:p>
            <w:r>
              <w:t>Uses nearby observations to estimate missing values. The displayed API-data output showed zero missing values after the operation.</w:t>
            </w:r>
          </w:p>
        </w:tc>
      </w:tr>
      <w:tr>
        <w:tc>
          <w:tcPr>
            <w:tcW w:type="dxa" w:w="2016"/>
          </w:tcPr>
          <w:p>
            <w:r>
              <w:t>MICE / iterative imputation</w:t>
            </w:r>
          </w:p>
        </w:tc>
        <w:tc>
          <w:tcPr>
            <w:tcW w:type="dxa" w:w="3024"/>
          </w:tcPr>
          <w:p>
            <w:r>
              <w:t>Selected numerical columns</w:t>
            </w:r>
          </w:p>
        </w:tc>
        <w:tc>
          <w:tcPr>
            <w:tcW w:type="dxa" w:w="4608"/>
          </w:tcPr>
          <w:p>
            <w:r>
              <w:t>Implemented as a multivariate approach. The displayed selected columns already had no missing values before and after this step, so effectiveness was not demonstrated by that output.</w:t>
            </w:r>
          </w:p>
        </w:tc>
      </w:tr>
    </w:tbl>
    <w:p/>
    <w:p>
      <w:r>
        <w:t>Assessment: Multiple strategies were implemented, but a final audit across every column in the exact modeling dataset is still required. Annual income and loan amount had missing values at the initial stage, so their final status should be confirmed separately.</w:t>
      </w:r>
    </w:p>
    <w:p>
      <w:pPr>
        <w:pStyle w:val="Heading1"/>
      </w:pPr>
      <w:r>
        <w:t>3. Outlier Handling Results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088"/>
          </w:tcPr>
          <w:p>
            <w:r>
              <w:t>Method</w:t>
            </w:r>
          </w:p>
        </w:tc>
        <w:tc>
          <w:tcPr>
            <w:tcW w:type="dxa" w:w="1800"/>
          </w:tcPr>
          <w:p>
            <w:r>
              <w:t>Variable</w:t>
            </w:r>
          </w:p>
        </w:tc>
        <w:tc>
          <w:tcPr>
            <w:tcW w:type="dxa" w:w="3024"/>
          </w:tcPr>
          <w:p>
            <w:r>
              <w:t>Displayed result</w:t>
            </w:r>
          </w:p>
        </w:tc>
        <w:tc>
          <w:tcPr>
            <w:tcW w:type="dxa" w:w="2880"/>
          </w:tcPr>
          <w:p>
            <w:r>
              <w:t>Interpretation</w:t>
            </w:r>
          </w:p>
        </w:tc>
      </w:tr>
      <w:tr>
        <w:tc>
          <w:tcPr>
            <w:tcW w:type="dxa" w:w="2088"/>
          </w:tcPr>
          <w:p>
            <w:r>
              <w:t>Z-score (|z| ≥ 3)</w:t>
            </w:r>
          </w:p>
        </w:tc>
        <w:tc>
          <w:tcPr>
            <w:tcW w:type="dxa" w:w="1800"/>
          </w:tcPr>
          <w:p>
            <w:r>
              <w:t>Annual Income</w:t>
            </w:r>
          </w:p>
        </w:tc>
        <w:tc>
          <w:tcPr>
            <w:tcW w:type="dxa" w:w="3024"/>
          </w:tcPr>
          <w:p>
            <w:r>
              <w:t>1,000 × 16 → 989 × 17; 11 rows removed</w:t>
            </w:r>
          </w:p>
        </w:tc>
        <w:tc>
          <w:tcPr>
            <w:tcW w:type="dxa" w:w="2880"/>
          </w:tcPr>
          <w:p>
            <w:r>
              <w:t>Reduced the influence of extreme income observations. The extra column reflects the Z-score feature.</w:t>
            </w:r>
          </w:p>
        </w:tc>
      </w:tr>
      <w:tr>
        <w:tc>
          <w:tcPr>
            <w:tcW w:type="dxa" w:w="2088"/>
          </w:tcPr>
          <w:p>
            <w:r>
              <w:t>IQR filtering</w:t>
            </w:r>
          </w:p>
        </w:tc>
        <w:tc>
          <w:tcPr>
            <w:tcW w:type="dxa" w:w="1800"/>
          </w:tcPr>
          <w:p>
            <w:r>
              <w:t>Loan Amount</w:t>
            </w:r>
          </w:p>
        </w:tc>
        <w:tc>
          <w:tcPr>
            <w:tcW w:type="dxa" w:w="3024"/>
          </w:tcPr>
          <w:p>
            <w:r>
              <w:t>989 × 17 → 944 × 17; 45 additional rows removed</w:t>
            </w:r>
          </w:p>
        </w:tc>
        <w:tc>
          <w:tcPr>
            <w:tcW w:type="dxa" w:w="2880"/>
          </w:tcPr>
          <w:p>
            <w:r>
              <w:t>Removed rows outside IQR-based bounds.</w:t>
            </w:r>
          </w:p>
        </w:tc>
      </w:tr>
      <w:tr>
        <w:tc>
          <w:tcPr>
            <w:tcW w:type="dxa" w:w="2088"/>
          </w:tcPr>
          <w:p>
            <w:r>
              <w:t>5th–95th percentile filtering</w:t>
            </w:r>
          </w:p>
        </w:tc>
        <w:tc>
          <w:tcPr>
            <w:tcW w:type="dxa" w:w="1800"/>
          </w:tcPr>
          <w:p>
            <w:r>
              <w:t>Credit Score</w:t>
            </w:r>
          </w:p>
        </w:tc>
        <w:tc>
          <w:tcPr>
            <w:tcW w:type="dxa" w:w="3024"/>
          </w:tcPr>
          <w:p>
            <w:r>
              <w:t>1,000 × 5 → 835 × 5; 165 rows removed</w:t>
            </w:r>
          </w:p>
        </w:tc>
        <w:tc>
          <w:tcPr>
            <w:tcW w:type="dxa" w:w="2880"/>
          </w:tcPr>
          <w:p>
            <w:r>
              <w:t>Restricted the dataset to values within selected percentile boundaries, according to the code's comparisons.</w:t>
            </w:r>
          </w:p>
        </w:tc>
      </w:tr>
      <w:tr>
        <w:tc>
          <w:tcPr>
            <w:tcW w:type="dxa" w:w="2088"/>
          </w:tcPr>
          <w:p>
            <w:r>
              <w:t>IQR-based winsorization</w:t>
            </w:r>
          </w:p>
        </w:tc>
        <w:tc>
          <w:tcPr>
            <w:tcW w:type="dxa" w:w="1800"/>
          </w:tcPr>
          <w:p>
            <w:r>
              <w:t>Repayment History</w:t>
            </w:r>
          </w:p>
        </w:tc>
        <w:tc>
          <w:tcPr>
            <w:tcW w:type="dxa" w:w="3024"/>
          </w:tcPr>
          <w:p>
            <w:r>
              <w:t>Count remained 835; maximum 12 → 5; standard deviation about 1.439 → 1.153</w:t>
            </w:r>
          </w:p>
        </w:tc>
        <w:tc>
          <w:tcPr>
            <w:tcW w:type="dxa" w:w="2880"/>
          </w:tcPr>
          <w:p>
            <w:r>
              <w:t>Clipped extreme values instead of removing observations.</w:t>
            </w:r>
          </w:p>
        </w:tc>
      </w:tr>
    </w:tbl>
    <w:p/>
    <w:p>
      <w:r>
        <w:t>These results come from different working DataFrames. Their row removals must not be added together to claim a single overall number of removed observations.</w:t>
      </w:r>
    </w:p>
    <w:p>
      <w:pPr>
        <w:pStyle w:val="Heading1"/>
      </w:pPr>
      <w:r>
        <w:t>4. Encoding Methods Applied</w:t>
      </w:r>
    </w:p>
    <w:p>
      <w:pPr>
        <w:pStyle w:val="Heading2"/>
      </w:pPr>
      <w:r>
        <w:t>4.1 Ordinal Encoding</w:t>
      </w:r>
    </w:p>
    <w:p>
      <w:r>
        <w:t>Education Level was mapped in order: Primary = 0, Secondary = 1, Graduate = 2, and Post-Graduate = 3. This represents the intended education ordering. The codes should only be used if this order matches the dataset's category definitions.</w:t>
      </w:r>
    </w:p>
    <w:p>
      <w:pPr>
        <w:pStyle w:val="Heading2"/>
      </w:pPr>
      <w:r>
        <w:t>4.2 Label Encoding</w:t>
      </w:r>
    </w:p>
    <w:p>
      <w:r>
        <w:t>Gender was label-encoded into a numerical feature named gender_lebel in the notebook. The resulting integers are category identifiers, not a meaningful ranking.</w:t>
      </w:r>
    </w:p>
    <w:p>
      <w:pPr>
        <w:pStyle w:val="Heading2"/>
      </w:pPr>
      <w:r>
        <w:t>4.3 One-Hot Encoding</w:t>
      </w:r>
    </w:p>
    <w:p>
      <w:r>
        <w:t>One-hot encoding was applied to categorical fields such as region and loan purpose, using pandas.get_dummies() with drop_first=True. This creates binary indicator columns and avoids imposing an artificial order on nominal categories. The later loan-purpose encoding cell checks for a region column; if that column is absent, that cell prints a message and does not encode loan purpose there. The notebook had already encoded loan purpose in an earlier mixed-variable step.</w:t>
      </w:r>
    </w:p>
    <w:p>
      <w:pPr>
        <w:pStyle w:val="Heading2"/>
      </w:pPr>
      <w:r>
        <w:t>4.4 Numerical Binning / Discretization</w:t>
      </w:r>
    </w:p>
    <w:tbl>
      <w:tblPr>
        <w:tblStyle w:val="LightShading-Accent1"/>
        <w:tblW w:type="auto" w:w="0"/>
        <w:tblLook w:firstColumn="1" w:firstRow="1" w:lastColumn="0" w:lastRow="0" w:noHBand="0" w:noVBand="1" w:val="04A0"/>
      </w:tblPr>
      <w:tblGrid>
        <w:gridCol w:w="3312"/>
        <w:gridCol w:w="3312"/>
        <w:gridCol w:w="3312"/>
      </w:tblGrid>
      <w:tr>
        <w:tc>
          <w:tcPr>
            <w:tcW w:type="dxa" w:w="2448"/>
          </w:tcPr>
          <w:p>
            <w:r>
              <w:t>Method</w:t>
            </w:r>
          </w:p>
        </w:tc>
        <w:tc>
          <w:tcPr>
            <w:tcW w:type="dxa" w:w="2880"/>
          </w:tcPr>
          <w:p>
            <w:r>
              <w:t>Feature</w:t>
            </w:r>
          </w:p>
        </w:tc>
        <w:tc>
          <w:tcPr>
            <w:tcW w:type="dxa" w:w="4464"/>
          </w:tcPr>
          <w:p>
            <w:r>
              <w:t>Purpose</w:t>
            </w:r>
          </w:p>
        </w:tc>
      </w:tr>
      <w:tr>
        <w:tc>
          <w:tcPr>
            <w:tcW w:type="dxa" w:w="2448"/>
          </w:tcPr>
          <w:p>
            <w:r>
              <w:t>Fixed-width binning</w:t>
            </w:r>
          </w:p>
        </w:tc>
        <w:tc>
          <w:tcPr>
            <w:tcW w:type="dxa" w:w="2880"/>
          </w:tcPr>
          <w:p>
            <w:r>
              <w:t>income_group</w:t>
            </w:r>
          </w:p>
        </w:tc>
        <w:tc>
          <w:tcPr>
            <w:tcW w:type="dxa" w:w="4464"/>
          </w:tcPr>
          <w:p>
            <w:r>
              <w:t>Assigns income to predefined groups such as Low, Medium, High, and Very High.</w:t>
            </w:r>
          </w:p>
        </w:tc>
      </w:tr>
      <w:tr>
        <w:tc>
          <w:tcPr>
            <w:tcW w:type="dxa" w:w="2448"/>
          </w:tcPr>
          <w:p>
            <w:r>
              <w:t>Binarization</w:t>
            </w:r>
          </w:p>
        </w:tc>
        <w:tc>
          <w:tcPr>
            <w:tcW w:type="dxa" w:w="2880"/>
          </w:tcPr>
          <w:p>
            <w:r>
              <w:t>income_flag</w:t>
            </w:r>
          </w:p>
        </w:tc>
        <w:tc>
          <w:tcPr>
            <w:tcW w:type="dxa" w:w="4464"/>
          </w:tcPr>
          <w:p>
            <w:r>
              <w:t>Flags annual income above the chosen threshold of 1,000,000.</w:t>
            </w:r>
          </w:p>
        </w:tc>
      </w:tr>
      <w:tr>
        <w:tc>
          <w:tcPr>
            <w:tcW w:type="dxa" w:w="2448"/>
          </w:tcPr>
          <w:p>
            <w:r>
              <w:t>Quantile binning</w:t>
            </w:r>
          </w:p>
        </w:tc>
        <w:tc>
          <w:tcPr>
            <w:tcW w:type="dxa" w:w="2880"/>
          </w:tcPr>
          <w:p>
            <w:r>
              <w:t>income_quantile</w:t>
            </w:r>
          </w:p>
        </w:tc>
        <w:tc>
          <w:tcPr>
            <w:tcW w:type="dxa" w:w="4464"/>
          </w:tcPr>
          <w:p>
            <w:r>
              <w:t>Creates income groups based on quantiles, aiming for similar group sizes.</w:t>
            </w:r>
          </w:p>
        </w:tc>
      </w:tr>
      <w:tr>
        <w:tc>
          <w:tcPr>
            <w:tcW w:type="dxa" w:w="2448"/>
          </w:tcPr>
          <w:p>
            <w:r>
              <w:t>K-Means binning</w:t>
            </w:r>
          </w:p>
        </w:tc>
        <w:tc>
          <w:tcPr>
            <w:tcW w:type="dxa" w:w="2880"/>
          </w:tcPr>
          <w:p>
            <w:r>
              <w:t>income_kmeans_group</w:t>
            </w:r>
          </w:p>
        </w:tc>
        <w:tc>
          <w:tcPr>
            <w:tcW w:type="dxa" w:w="4464"/>
          </w:tcPr>
          <w:p>
            <w:r>
              <w:t>Assigns income to four clusters based on K-Means.</w:t>
            </w:r>
          </w:p>
        </w:tc>
      </w:tr>
      <w:tr>
        <w:tc>
          <w:tcPr>
            <w:tcW w:type="dxa" w:w="2448"/>
          </w:tcPr>
          <w:p>
            <w:r>
              <w:t>Ordinal transaction grouping</w:t>
            </w:r>
          </w:p>
        </w:tc>
        <w:tc>
          <w:tcPr>
            <w:tcW w:type="dxa" w:w="2880"/>
          </w:tcPr>
          <w:p>
            <w:r>
              <w:t>transaction_level / transaction_level_encoded</w:t>
            </w:r>
          </w:p>
        </w:tc>
        <w:tc>
          <w:tcPr>
            <w:tcW w:type="dxa" w:w="4464"/>
          </w:tcPr>
          <w:p>
            <w:r>
              <w:t>Groups transaction activity into Low, Medium, and High and represents the ordered levels numerically.</w:t>
            </w:r>
          </w:p>
        </w:tc>
      </w:tr>
    </w:tbl>
    <w:p/>
    <w:p>
      <w:pPr>
        <w:pStyle w:val="Heading1"/>
      </w:pPr>
      <w:r>
        <w:t>5. Scaling and Transformation Methods</w:t>
      </w:r>
    </w:p>
    <w:tbl>
      <w:tblPr>
        <w:tblStyle w:val="LightShading-Accent1"/>
        <w:tblW w:type="auto" w:w="0"/>
        <w:tblLook w:firstColumn="1" w:firstRow="1" w:lastColumn="0" w:lastRow="0" w:noHBand="0" w:noVBand="1" w:val="04A0"/>
      </w:tblPr>
      <w:tblGrid>
        <w:gridCol w:w="3312"/>
        <w:gridCol w:w="3312"/>
        <w:gridCol w:w="3312"/>
      </w:tblGrid>
      <w:tr>
        <w:tc>
          <w:tcPr>
            <w:tcW w:type="dxa" w:w="2232"/>
          </w:tcPr>
          <w:p>
            <w:r>
              <w:t>Method</w:t>
            </w:r>
          </w:p>
        </w:tc>
        <w:tc>
          <w:tcPr>
            <w:tcW w:type="dxa" w:w="3384"/>
          </w:tcPr>
          <w:p>
            <w:r>
              <w:t>Features / scope</w:t>
            </w:r>
          </w:p>
        </w:tc>
        <w:tc>
          <w:tcPr>
            <w:tcW w:type="dxa" w:w="4176"/>
          </w:tcPr>
          <w:p>
            <w:r>
              <w:t>Why it is used</w:t>
            </w:r>
          </w:p>
        </w:tc>
      </w:tr>
      <w:tr>
        <w:tc>
          <w:tcPr>
            <w:tcW w:type="dxa" w:w="2232"/>
          </w:tcPr>
          <w:p>
            <w:r>
              <w:t>Standardization (Z-score)</w:t>
            </w:r>
          </w:p>
        </w:tc>
        <w:tc>
          <w:tcPr>
            <w:tcW w:type="dxa" w:w="3384"/>
          </w:tcPr>
          <w:p>
            <w:r>
              <w:t>Age, annual income, loan amount, credit score, repayment history, transaction count; also API spending ratio</w:t>
            </w:r>
          </w:p>
        </w:tc>
        <w:tc>
          <w:tcPr>
            <w:tcW w:type="dxa" w:w="4176"/>
          </w:tcPr>
          <w:p>
            <w:r>
              <w:t>Centers features and scales them by standard deviation, helping scale-sensitive algorithms.</w:t>
            </w:r>
          </w:p>
        </w:tc>
      </w:tr>
      <w:tr>
        <w:tc>
          <w:tcPr>
            <w:tcW w:type="dxa" w:w="2232"/>
          </w:tcPr>
          <w:p>
            <w:r>
              <w:t>Normalization</w:t>
            </w:r>
          </w:p>
        </w:tc>
        <w:tc>
          <w:tcPr>
            <w:tcW w:type="dxa" w:w="3384"/>
          </w:tcPr>
          <w:p>
            <w:r>
              <w:t>Annual income and loan amount</w:t>
            </w:r>
          </w:p>
        </w:tc>
        <w:tc>
          <w:tcPr>
            <w:tcW w:type="dxa" w:w="4176"/>
          </w:tcPr>
          <w:p>
            <w:r>
              <w:t>Scales each selected sample vector to unit norm; this is not the same as independently mapping each column to 0–1.</w:t>
            </w:r>
          </w:p>
        </w:tc>
      </w:tr>
      <w:tr>
        <w:tc>
          <w:tcPr>
            <w:tcW w:type="dxa" w:w="2232"/>
          </w:tcPr>
          <w:p>
            <w:r>
              <w:t>Min-Max scaling</w:t>
            </w:r>
          </w:p>
        </w:tc>
        <w:tc>
          <w:tcPr>
            <w:tcW w:type="dxa" w:w="3384"/>
          </w:tcPr>
          <w:p>
            <w:r>
              <w:t>Annual income</w:t>
            </w:r>
          </w:p>
        </w:tc>
        <w:tc>
          <w:tcPr>
            <w:tcW w:type="dxa" w:w="4176"/>
          </w:tcPr>
          <w:p>
            <w:r>
              <w:t>Maps the selected feature to a bounded 0–1 range based on fitted minima and maxima.</w:t>
            </w:r>
          </w:p>
        </w:tc>
      </w:tr>
      <w:tr>
        <w:tc>
          <w:tcPr>
            <w:tcW w:type="dxa" w:w="2232"/>
          </w:tcPr>
          <w:p>
            <w:r>
              <w:t>MaxAbs scaling</w:t>
            </w:r>
          </w:p>
        </w:tc>
        <w:tc>
          <w:tcPr>
            <w:tcW w:type="dxa" w:w="3384"/>
          </w:tcPr>
          <w:p>
            <w:r>
              <w:t>Age, annual income, loan amount</w:t>
            </w:r>
          </w:p>
        </w:tc>
        <w:tc>
          <w:tcPr>
            <w:tcW w:type="dxa" w:w="4176"/>
          </w:tcPr>
          <w:p>
            <w:r>
              <w:t>Divides by maximum absolute value; typically preserves zero values and maps values to [-1, 1].</w:t>
            </w:r>
          </w:p>
        </w:tc>
      </w:tr>
      <w:tr>
        <w:tc>
          <w:tcPr>
            <w:tcW w:type="dxa" w:w="2232"/>
          </w:tcPr>
          <w:p>
            <w:r>
              <w:t>Robust scaling</w:t>
            </w:r>
          </w:p>
        </w:tc>
        <w:tc>
          <w:tcPr>
            <w:tcW w:type="dxa" w:w="3384"/>
          </w:tcPr>
          <w:p>
            <w:r>
              <w:t>Annual income</w:t>
            </w:r>
          </w:p>
        </w:tc>
        <w:tc>
          <w:tcPr>
            <w:tcW w:type="dxa" w:w="4176"/>
          </w:tcPr>
          <w:p>
            <w:r>
              <w:t>Uses median and interquartile range, making it less influenced by extreme values.</w:t>
            </w:r>
          </w:p>
        </w:tc>
      </w:tr>
      <w:tr>
        <w:tc>
          <w:tcPr>
            <w:tcW w:type="dxa" w:w="2232"/>
          </w:tcPr>
          <w:p>
            <w:r>
              <w:t>Log transformation</w:t>
            </w:r>
          </w:p>
        </w:tc>
        <w:tc>
          <w:tcPr>
            <w:tcW w:type="dxa" w:w="3384"/>
          </w:tcPr>
          <w:p>
            <w:r>
              <w:t>annual_income_log</w:t>
            </w:r>
          </w:p>
        </w:tc>
        <w:tc>
          <w:tcPr>
            <w:tcW w:type="dxa" w:w="4176"/>
          </w:tcPr>
          <w:p>
            <w:r>
              <w:t>Uses log1p to reduce right skew and compress large values.</w:t>
            </w:r>
          </w:p>
        </w:tc>
      </w:tr>
      <w:tr>
        <w:tc>
          <w:tcPr>
            <w:tcW w:type="dxa" w:w="2232"/>
          </w:tcPr>
          <w:p>
            <w:r>
              <w:t>Reciprocal transformation</w:t>
            </w:r>
          </w:p>
        </w:tc>
        <w:tc>
          <w:tcPr>
            <w:tcW w:type="dxa" w:w="3384"/>
          </w:tcPr>
          <w:p>
            <w:r>
              <w:t>annual_income_reciprocal</w:t>
            </w:r>
          </w:p>
        </w:tc>
        <w:tc>
          <w:tcPr>
            <w:tcW w:type="dxa" w:w="4176"/>
          </w:tcPr>
          <w:p>
            <w:r>
              <w:t>Creates a reciprocal representation; may emphasize differences among smaller positive values.</w:t>
            </w:r>
          </w:p>
        </w:tc>
      </w:tr>
      <w:tr>
        <w:tc>
          <w:tcPr>
            <w:tcW w:type="dxa" w:w="2232"/>
          </w:tcPr>
          <w:p>
            <w:r>
              <w:t>Square-root transformation</w:t>
            </w:r>
          </w:p>
        </w:tc>
        <w:tc>
          <w:tcPr>
            <w:tcW w:type="dxa" w:w="3384"/>
          </w:tcPr>
          <w:p>
            <w:r>
              <w:t>annual_income_sqrt</w:t>
            </w:r>
          </w:p>
        </w:tc>
        <w:tc>
          <w:tcPr>
            <w:tcW w:type="dxa" w:w="4176"/>
          </w:tcPr>
          <w:p>
            <w:r>
              <w:t>Can reduce right skew for non-negative values.</w:t>
            </w:r>
          </w:p>
        </w:tc>
      </w:tr>
      <w:tr>
        <w:tc>
          <w:tcPr>
            <w:tcW w:type="dxa" w:w="2232"/>
          </w:tcPr>
          <w:p>
            <w:r>
              <w:t>Box-Cox transformation</w:t>
            </w:r>
          </w:p>
        </w:tc>
        <w:tc>
          <w:tcPr>
            <w:tcW w:type="dxa" w:w="3384"/>
          </w:tcPr>
          <w:p>
            <w:r>
              <w:t>income_boxcox</w:t>
            </w:r>
          </w:p>
        </w:tc>
        <w:tc>
          <w:tcPr>
            <w:tcW w:type="dxa" w:w="4176"/>
          </w:tcPr>
          <w:p>
            <w:r>
              <w:t>Power transformation for strictly positive values, often used to reduce skewness.</w:t>
            </w:r>
          </w:p>
        </w:tc>
      </w:tr>
      <w:tr>
        <w:tc>
          <w:tcPr>
            <w:tcW w:type="dxa" w:w="2232"/>
          </w:tcPr>
          <w:p>
            <w:r>
              <w:t>Yeo-Johnson transformation</w:t>
            </w:r>
          </w:p>
        </w:tc>
        <w:tc>
          <w:tcPr>
            <w:tcW w:type="dxa" w:w="3384"/>
          </w:tcPr>
          <w:p>
            <w:r>
              <w:t>income_yeojohnson</w:t>
            </w:r>
          </w:p>
        </w:tc>
        <w:tc>
          <w:tcPr>
            <w:tcW w:type="dxa" w:w="4176"/>
          </w:tcPr>
          <w:p>
            <w:r>
              <w:t>Power transformation that can accommodate zero and negative values.</w:t>
            </w:r>
          </w:p>
        </w:tc>
      </w:tr>
    </w:tbl>
    <w:p/>
    <w:p>
      <w:r>
        <w:t>Assessment: Several alternatives were implemented for comparison. They should not automatically all be fed into one model. Choose the transformation based on the model, distributions, and validation results, and fit data-dependent transformations on training data only.</w:t>
      </w:r>
    </w:p>
    <w:p>
      <w:pPr>
        <w:pStyle w:val="Heading1"/>
      </w:pPr>
      <w:r>
        <w:t>6. Newly Engineered Features and Their Usefulness</w:t>
      </w:r>
    </w:p>
    <w:tbl>
      <w:tblPr>
        <w:tblStyle w:val="LightShading-Accent1"/>
        <w:tblW w:type="auto" w:w="0"/>
        <w:tblLook w:firstColumn="1" w:firstRow="1" w:lastColumn="0" w:lastRow="0" w:noHBand="0" w:noVBand="1" w:val="04A0"/>
      </w:tblPr>
      <w:tblGrid>
        <w:gridCol w:w="3312"/>
        <w:gridCol w:w="3312"/>
        <w:gridCol w:w="3312"/>
      </w:tblGrid>
      <w:tr>
        <w:tc>
          <w:tcPr>
            <w:tcW w:type="dxa" w:w="2592"/>
          </w:tcPr>
          <w:p>
            <w:r>
              <w:t>Feature</w:t>
            </w:r>
          </w:p>
        </w:tc>
        <w:tc>
          <w:tcPr>
            <w:tcW w:type="dxa" w:w="3096"/>
          </w:tcPr>
          <w:p>
            <w:r>
              <w:t>Construction</w:t>
            </w:r>
          </w:p>
        </w:tc>
        <w:tc>
          <w:tcPr>
            <w:tcW w:type="dxa" w:w="4104"/>
          </w:tcPr>
          <w:p>
            <w:r>
              <w:t>Potential usefulness</w:t>
            </w:r>
          </w:p>
        </w:tc>
      </w:tr>
      <w:tr>
        <w:tc>
          <w:tcPr>
            <w:tcW w:type="dxa" w:w="2592"/>
          </w:tcPr>
          <w:p>
            <w:r>
              <w:t>year, month, day, weekday</w:t>
            </w:r>
          </w:p>
        </w:tc>
        <w:tc>
          <w:tcPr>
            <w:tcW w:type="dxa" w:w="3096"/>
          </w:tcPr>
          <w:p>
            <w:r>
              <w:t>Extracted from join_date</w:t>
            </w:r>
          </w:p>
        </w:tc>
        <w:tc>
          <w:tcPr>
            <w:tcW w:type="dxa" w:w="4104"/>
          </w:tcPr>
          <w:p>
            <w:r>
              <w:t>May capture temporal patterns in customer joining dates.</w:t>
            </w:r>
          </w:p>
        </w:tc>
      </w:tr>
      <w:tr>
        <w:tc>
          <w:tcPr>
            <w:tcW w:type="dxa" w:w="2592"/>
          </w:tcPr>
          <w:p>
            <w:r>
              <w:t>income_group</w:t>
            </w:r>
          </w:p>
        </w:tc>
        <w:tc>
          <w:tcPr>
            <w:tcW w:type="dxa" w:w="3096"/>
          </w:tcPr>
          <w:p>
            <w:r>
              <w:t>Fixed income intervals</w:t>
            </w:r>
          </w:p>
        </w:tc>
        <w:tc>
          <w:tcPr>
            <w:tcW w:type="dxa" w:w="4104"/>
          </w:tcPr>
          <w:p>
            <w:r>
              <w:t>Supports segmentation by income bands.</w:t>
            </w:r>
          </w:p>
        </w:tc>
      </w:tr>
      <w:tr>
        <w:tc>
          <w:tcPr>
            <w:tcW w:type="dxa" w:w="2592"/>
          </w:tcPr>
          <w:p>
            <w:r>
              <w:t>income_flag</w:t>
            </w:r>
          </w:p>
        </w:tc>
        <w:tc>
          <w:tcPr>
            <w:tcW w:type="dxa" w:w="3096"/>
          </w:tcPr>
          <w:p>
            <w:r>
              <w:t>Annual income &gt; 1,000,000</w:t>
            </w:r>
          </w:p>
        </w:tc>
        <w:tc>
          <w:tcPr>
            <w:tcW w:type="dxa" w:w="4104"/>
          </w:tcPr>
          <w:p>
            <w:r>
              <w:t>Creates a binary indicator for a selected income threshold.</w:t>
            </w:r>
          </w:p>
        </w:tc>
      </w:tr>
      <w:tr>
        <w:tc>
          <w:tcPr>
            <w:tcW w:type="dxa" w:w="2592"/>
          </w:tcPr>
          <w:p>
            <w:r>
              <w:t>income_quantile</w:t>
            </w:r>
          </w:p>
        </w:tc>
        <w:tc>
          <w:tcPr>
            <w:tcW w:type="dxa" w:w="3096"/>
          </w:tcPr>
          <w:p>
            <w:r>
              <w:t>Quantile-based income groups</w:t>
            </w:r>
          </w:p>
        </w:tc>
        <w:tc>
          <w:tcPr>
            <w:tcW w:type="dxa" w:w="4104"/>
          </w:tcPr>
          <w:p>
            <w:r>
              <w:t>Represents relative income position within the fitted dataset.</w:t>
            </w:r>
          </w:p>
        </w:tc>
      </w:tr>
      <w:tr>
        <w:tc>
          <w:tcPr>
            <w:tcW w:type="dxa" w:w="2592"/>
          </w:tcPr>
          <w:p>
            <w:r>
              <w:t>income_kmeans_group</w:t>
            </w:r>
          </w:p>
        </w:tc>
        <w:tc>
          <w:tcPr>
            <w:tcW w:type="dxa" w:w="3096"/>
          </w:tcPr>
          <w:p>
            <w:r>
              <w:t>Four-cluster K-Means grouping</w:t>
            </w:r>
          </w:p>
        </w:tc>
        <w:tc>
          <w:tcPr>
            <w:tcW w:type="dxa" w:w="4104"/>
          </w:tcPr>
          <w:p>
            <w:r>
              <w:t>Captures income segments based on cluster assignments.</w:t>
            </w:r>
          </w:p>
        </w:tc>
      </w:tr>
      <w:tr>
        <w:tc>
          <w:tcPr>
            <w:tcW w:type="dxa" w:w="2592"/>
          </w:tcPr>
          <w:p>
            <w:r>
              <w:t>transaction_level</w:t>
            </w:r>
          </w:p>
        </w:tc>
        <w:tc>
          <w:tcPr>
            <w:tcW w:type="dxa" w:w="3096"/>
          </w:tcPr>
          <w:p>
            <w:r>
              <w:t>Transaction count grouped into Low / Medium / High</w:t>
            </w:r>
          </w:p>
        </w:tc>
        <w:tc>
          <w:tcPr>
            <w:tcW w:type="dxa" w:w="4104"/>
          </w:tcPr>
          <w:p>
            <w:r>
              <w:t>Represents activity levels in an interpretable way.</w:t>
            </w:r>
          </w:p>
        </w:tc>
      </w:tr>
      <w:tr>
        <w:tc>
          <w:tcPr>
            <w:tcW w:type="dxa" w:w="2592"/>
          </w:tcPr>
          <w:p>
            <w:r>
              <w:t>transaction_level_encoded</w:t>
            </w:r>
          </w:p>
        </w:tc>
        <w:tc>
          <w:tcPr>
            <w:tcW w:type="dxa" w:w="3096"/>
          </w:tcPr>
          <w:p>
            <w:r>
              <w:t>Ordinal encoding of transaction_level</w:t>
            </w:r>
          </w:p>
        </w:tc>
        <w:tc>
          <w:tcPr>
            <w:tcW w:type="dxa" w:w="4104"/>
          </w:tcPr>
          <w:p>
            <w:r>
              <w:t>Makes the ordered activity level numeric.</w:t>
            </w:r>
          </w:p>
        </w:tc>
      </w:tr>
      <w:tr>
        <w:tc>
          <w:tcPr>
            <w:tcW w:type="dxa" w:w="2592"/>
          </w:tcPr>
          <w:p>
            <w:r>
              <w:t>debt_to_income_ratio</w:t>
            </w:r>
          </w:p>
        </w:tc>
        <w:tc>
          <w:tcPr>
            <w:tcW w:type="dxa" w:w="3096"/>
          </w:tcPr>
          <w:p>
            <w:r>
              <w:t>Loan amount ÷ annual income</w:t>
            </w:r>
          </w:p>
        </w:tc>
        <w:tc>
          <w:tcPr>
            <w:tcW w:type="dxa" w:w="4104"/>
          </w:tcPr>
          <w:p>
            <w:r>
              <w:t>Represents loan exposure relative to income; technically a loan-to-income ratio based on this formula.</w:t>
            </w:r>
          </w:p>
        </w:tc>
      </w:tr>
      <w:tr>
        <w:tc>
          <w:tcPr>
            <w:tcW w:type="dxa" w:w="2592"/>
          </w:tcPr>
          <w:p>
            <w:r>
              <w:t>avg_monthly_transactions</w:t>
            </w:r>
          </w:p>
        </w:tc>
        <w:tc>
          <w:tcPr>
            <w:tcW w:type="dxa" w:w="3096"/>
          </w:tcPr>
          <w:p>
            <w:r>
              <w:t>Transaction count ÷ 12</w:t>
            </w:r>
          </w:p>
        </w:tc>
        <w:tc>
          <w:tcPr>
            <w:tcW w:type="dxa" w:w="4104"/>
          </w:tcPr>
          <w:p>
            <w:r>
              <w:t>Estimates monthly activity if the source count covers a 12-month period.</w:t>
            </w:r>
          </w:p>
        </w:tc>
      </w:tr>
      <w:tr>
        <w:tc>
          <w:tcPr>
            <w:tcW w:type="dxa" w:w="2592"/>
          </w:tcPr>
          <w:p>
            <w:r>
              <w:t>spending_to_income_ratio</w:t>
            </w:r>
          </w:p>
        </w:tc>
        <w:tc>
          <w:tcPr>
            <w:tcW w:type="dxa" w:w="3096"/>
          </w:tcPr>
          <w:p>
            <w:r>
              <w:t>Copied from spending_ratio</w:t>
            </w:r>
          </w:p>
        </w:tc>
        <w:tc>
          <w:tcPr>
            <w:tcW w:type="dxa" w:w="4104"/>
          </w:tcPr>
          <w:p>
            <w:r>
              <w:t>Carries an existing spending-related measure; this code does not calculate a new ratio from income.</w:t>
            </w:r>
          </w:p>
        </w:tc>
      </w:tr>
      <w:tr>
        <w:tc>
          <w:tcPr>
            <w:tcW w:type="dxa" w:w="2592"/>
          </w:tcPr>
          <w:p>
            <w:r>
              <w:t>Missing indicators</w:t>
            </w:r>
          </w:p>
        </w:tc>
        <w:tc>
          <w:tcPr>
            <w:tcW w:type="dxa" w:w="3096"/>
          </w:tcPr>
          <w:p>
            <w:r>
              <w:t>Flags values originally missing</w:t>
            </w:r>
          </w:p>
        </w:tc>
        <w:tc>
          <w:tcPr>
            <w:tcW w:type="dxa" w:w="4104"/>
          </w:tcPr>
          <w:p>
            <w:r>
              <w:t>Can preserve information associated with missingness.</w:t>
            </w:r>
          </w:p>
        </w:tc>
      </w:tr>
    </w:tbl>
    <w:p/>
    <w:p>
      <w:r>
        <w:t>Feature usefulness is a hypothesis until confirmed through validation. Check divide-by-zero cases for ratios, the time period behind transaction counts, and whether date-derived fields add information beyond existing features.</w:t>
      </w:r>
    </w:p>
    <w:p>
      <w:pPr>
        <w:pStyle w:val="Heading1"/>
      </w:pPr>
      <w:r>
        <w:t>7. Final Dataset Shape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880"/>
          </w:tcPr>
          <w:p>
            <w:r>
              <w:t>Dataset / object</w:t>
            </w:r>
          </w:p>
        </w:tc>
        <w:tc>
          <w:tcPr>
            <w:tcW w:type="dxa" w:w="1152"/>
          </w:tcPr>
          <w:p>
            <w:r>
              <w:t>Rows</w:t>
            </w:r>
          </w:p>
        </w:tc>
        <w:tc>
          <w:tcPr>
            <w:tcW w:type="dxa" w:w="1296"/>
          </w:tcPr>
          <w:p>
            <w:r>
              <w:t>Columns</w:t>
            </w:r>
          </w:p>
        </w:tc>
        <w:tc>
          <w:tcPr>
            <w:tcW w:type="dxa" w:w="4464"/>
          </w:tcPr>
          <w:p>
            <w:r>
              <w:t>What the displayed output represents</w:t>
            </w:r>
          </w:p>
        </w:tc>
      </w:tr>
      <w:tr>
        <w:tc>
          <w:tcPr>
            <w:tcW w:type="dxa" w:w="2880"/>
          </w:tcPr>
          <w:p>
            <w:r>
              <w:t>df_processed_final</w:t>
            </w:r>
          </w:p>
        </w:tc>
        <w:tc>
          <w:tcPr>
            <w:tcW w:type="dxa" w:w="1152"/>
          </w:tcPr>
          <w:p>
            <w:r>
              <w:t>1,000</w:t>
            </w:r>
          </w:p>
        </w:tc>
        <w:tc>
          <w:tcPr>
            <w:tcW w:type="dxa" w:w="1296"/>
          </w:tcPr>
          <w:p>
            <w:r>
              <w:t>40</w:t>
            </w:r>
          </w:p>
        </w:tc>
        <w:tc>
          <w:tcPr>
            <w:tcW w:type="dxa" w:w="4464"/>
          </w:tcPr>
          <w:p>
            <w:r>
              <w:t>Feature matrix produced by the ColumnTransformer preprocessing step.</w:t>
            </w:r>
          </w:p>
        </w:tc>
      </w:tr>
      <w:tr>
        <w:tc>
          <w:tcPr>
            <w:tcW w:type="dxa" w:w="2880"/>
          </w:tcPr>
          <w:p>
            <w:r>
              <w:t>df_final_dataset</w:t>
            </w:r>
          </w:p>
        </w:tc>
        <w:tc>
          <w:tcPr>
            <w:tcW w:type="dxa" w:w="1152"/>
          </w:tcPr>
          <w:p>
            <w:r>
              <w:t>1,000</w:t>
            </w:r>
          </w:p>
        </w:tc>
        <w:tc>
          <w:tcPr>
            <w:tcW w:type="dxa" w:w="1296"/>
          </w:tcPr>
          <w:p>
            <w:r>
              <w:t>42</w:t>
            </w:r>
          </w:p>
        </w:tc>
        <w:tc>
          <w:tcPr>
            <w:tcW w:type="dxa" w:w="4464"/>
          </w:tcPr>
          <w:p>
            <w:r>
              <w:t>Dataset loaded from cleaned_transformed_datasets (1).xlsx.</w:t>
            </w:r>
          </w:p>
        </w:tc>
      </w:tr>
    </w:tbl>
    <w:p/>
    <w:p>
      <w:r>
        <w:t>The 42-column dataset was loaded from an existing Excel file; its shape does not by itself prove that it was generated by the preceding notebook cells. Confirm that the saved file matches the latest preprocessing run.</w:t>
      </w:r>
    </w:p>
    <w:p>
      <w:pPr>
        <w:pStyle w:val="Heading1"/>
      </w:pPr>
      <w:r>
        <w:t>8. Readiness for Machine Learning</w:t>
      </w:r>
    </w:p>
    <w:p>
      <w:r>
        <w:t>The workflow demonstrates many important preprocessing and feature-engineering stages. The data can be considered a candidate for ML experimentation, but the notebook outputs described here do not establish that all production-readiness checks have passed.</w:t>
      </w:r>
    </w:p>
    <w:p>
      <w:pPr>
        <w:pStyle w:val="ListBullet"/>
      </w:pPr>
      <w:r>
        <w:t>Run a final missing-value audit on the exact final modeling dataset.</w:t>
      </w:r>
    </w:p>
    <w:p>
      <w:pPr>
        <w:pStyle w:val="ListBullet"/>
      </w:pPr>
      <w:r>
        <w:t>Identify and verify the target variable (for example, default / non-default). The displayed final output does not establish the target column.</w:t>
      </w:r>
    </w:p>
    <w:p>
      <w:pPr>
        <w:pStyle w:val="ListBullet"/>
      </w:pPr>
      <w:r>
        <w:t>Check duplicate rows and duplicate customer identifiers.</w:t>
      </w:r>
    </w:p>
    <w:p>
      <w:pPr>
        <w:pStyle w:val="ListBullet"/>
      </w:pPr>
      <w:r>
        <w:t>Split data into training and test sets before fitting imputers, scalers, binning boundaries, or power transformations; fit on training data and transform test data.</w:t>
      </w:r>
    </w:p>
    <w:p>
      <w:pPr>
        <w:pStyle w:val="ListBullet"/>
      </w:pPr>
      <w:r>
        <w:t>Prevent target leakage and exclude identifiers such as customer IDs unless a justified modeling use exists. One-hot encoding IDs can create many unnecessary columns.</w:t>
      </w:r>
    </w:p>
    <w:p>
      <w:pPr>
        <w:pStyle w:val="ListBullet"/>
      </w:pPr>
      <w:r>
        <w:t>Verify join keys and ensure merges have not introduced unintended duplicate records.</w:t>
      </w:r>
    </w:p>
    <w:p>
      <w:pPr>
        <w:pStyle w:val="ListBullet"/>
      </w:pPr>
      <w:r>
        <w:t>Check ratios for zero denominators and validate transformation outputs.</w:t>
      </w:r>
    </w:p>
    <w:p>
      <w:pPr>
        <w:pStyle w:val="ListBullet"/>
      </w:pPr>
      <w:r>
        <w:t>Evaluate feature redundancy; multiple versions of annual income may be unnecessary together.</w:t>
      </w:r>
    </w:p>
    <w:p>
      <w:pPr>
        <w:pStyle w:val="ListBullet"/>
      </w:pPr>
      <w:r>
        <w:t>Evaluate performance using suitable metrics such as precision, recall, F1-score, ROC-AUC, and a confusion matrix, with attention to class imbalance.</w:t>
      </w:r>
    </w:p>
    <w:p>
      <w:pPr>
        <w:pStyle w:val="Heading1"/>
      </w:pPr>
      <w:r>
        <w:t>9. Overall Conclusion</w:t>
      </w:r>
    </w:p>
    <w:p>
      <w:r>
        <w:t>The project implemented a broad data preprocessing and feature engineering workflow for credit risk analysis. It included multiple missing-value strategies, four outlier approaches, categorical encoding, numerical binning, several scaling and power transformations, date-derived variables, and financial / behavioral features. The displayed outputs report a 1,000 × 40 processed feature matrix and a 1,000 × 42 final imported Excel dataset. These results indicate substantial progress toward machine-learning preparation. Before final model training, validate missingness, the target column, duplicate records, data leakage, join consistency, and the selected feature set.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Data Preprocessing &amp; Feature Engineering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