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74CD" w14:textId="77777777" w:rsidR="00222B38" w:rsidRPr="00222B38" w:rsidRDefault="00222B38" w:rsidP="00222B38">
      <w:r w:rsidRPr="00222B38">
        <w:rPr>
          <w:b/>
          <w:bCs/>
        </w:rPr>
        <w:t>Executive Summary: US Superstore Performance (2015)</w:t>
      </w:r>
      <w:r w:rsidRPr="00222B38">
        <w:t> </w:t>
      </w:r>
    </w:p>
    <w:p w14:paraId="007C9ECA" w14:textId="77777777" w:rsidR="00222B38" w:rsidRPr="00222B38" w:rsidRDefault="00222B38" w:rsidP="00222B38">
      <w:r w:rsidRPr="00222B38">
        <w:rPr>
          <w:b/>
          <w:bCs/>
        </w:rPr>
        <w:t>1. Severe Regional Divergence (South Region Unprofitability)</w:t>
      </w:r>
      <w:r w:rsidRPr="00222B38">
        <w:t> </w:t>
      </w:r>
    </w:p>
    <w:p w14:paraId="47E45558" w14:textId="77777777" w:rsidR="00222B38" w:rsidRPr="00222B38" w:rsidRDefault="00222B38" w:rsidP="00222B38">
      <w:r w:rsidRPr="00222B38">
        <w:t>While the business achieved </w:t>
      </w:r>
      <w:r w:rsidRPr="00222B38">
        <w:rPr>
          <w:b/>
          <w:bCs/>
        </w:rPr>
        <w:t>$1,924,337.88</w:t>
      </w:r>
      <w:r w:rsidRPr="00222B38">
        <w:t> in total revenue with an overall profit margin of </w:t>
      </w:r>
      <w:r w:rsidRPr="00222B38">
        <w:rPr>
          <w:b/>
          <w:bCs/>
        </w:rPr>
        <w:t>11.64%</w:t>
      </w:r>
      <w:r w:rsidRPr="00222B38">
        <w:t>, performance is severely dragged down by the </w:t>
      </w:r>
      <w:r w:rsidRPr="00222B38">
        <w:rPr>
          <w:b/>
          <w:bCs/>
        </w:rPr>
        <w:t>South Region</w:t>
      </w:r>
      <w:r w:rsidRPr="00222B38">
        <w:t>, which operated at a total loss of </w:t>
      </w:r>
      <w:r w:rsidRPr="00222B38">
        <w:rPr>
          <w:b/>
          <w:bCs/>
        </w:rPr>
        <w:t>-$14,424.05</w:t>
      </w:r>
      <w:r w:rsidRPr="00222B38">
        <w:t> (-4.04% margin). In contrast, the Central, East, and West regions generated strong net profits ranging between 14.4% and 17.3%. The losses in the South are heavily concentrated in </w:t>
      </w:r>
      <w:r w:rsidRPr="00222B38">
        <w:rPr>
          <w:b/>
          <w:bCs/>
        </w:rPr>
        <w:t>Telephones and Communication</w:t>
      </w:r>
      <w:r w:rsidRPr="00222B38">
        <w:t> (-$12,904.99 loss) and </w:t>
      </w:r>
      <w:r w:rsidRPr="00222B38">
        <w:rPr>
          <w:b/>
          <w:bCs/>
        </w:rPr>
        <w:t>Envelopes</w:t>
      </w:r>
      <w:r w:rsidRPr="00222B38">
        <w:t> (-$4,321.13 loss). </w:t>
      </w:r>
    </w:p>
    <w:p w14:paraId="1DAAE006" w14:textId="77777777" w:rsidR="00222B38" w:rsidRPr="00222B38" w:rsidRDefault="00222B38" w:rsidP="00222B38">
      <w:r w:rsidRPr="00222B38">
        <w:rPr>
          <w:b/>
          <w:bCs/>
        </w:rPr>
        <w:t>2. Product Sub-Category Margin Erosion (Tables &amp; Heavy Equipment)</w:t>
      </w:r>
      <w:r w:rsidRPr="00222B38">
        <w:t> </w:t>
      </w:r>
    </w:p>
    <w:p w14:paraId="3F60F6F5" w14:textId="77777777" w:rsidR="00222B38" w:rsidRPr="00222B38" w:rsidRDefault="00222B38" w:rsidP="00222B38">
      <w:r w:rsidRPr="00222B38">
        <w:t>Product line profitability varies significantly across sub-categories: </w:t>
      </w:r>
    </w:p>
    <w:p w14:paraId="05EEF85D" w14:textId="77777777" w:rsidR="00222B38" w:rsidRPr="00222B38" w:rsidRDefault="00222B38" w:rsidP="00222B38">
      <w:pPr>
        <w:numPr>
          <w:ilvl w:val="0"/>
          <w:numId w:val="5"/>
        </w:numPr>
      </w:pPr>
      <w:r w:rsidRPr="00222B38">
        <w:rPr>
          <w:b/>
          <w:bCs/>
        </w:rPr>
        <w:t>Profit Engines:</w:t>
      </w:r>
      <w:r w:rsidRPr="00222B38">
        <w:t> </w:t>
      </w:r>
      <w:r w:rsidRPr="00222B38">
        <w:rPr>
          <w:b/>
          <w:bCs/>
        </w:rPr>
        <w:t>Binders and Binder Accessories</w:t>
      </w:r>
      <w:r w:rsidRPr="00222B38">
        <w:t> generated the highest overall net profit (</w:t>
      </w:r>
      <w:r w:rsidRPr="00222B38">
        <w:rPr>
          <w:b/>
          <w:bCs/>
        </w:rPr>
        <w:t>$59,296.39</w:t>
      </w:r>
      <w:r w:rsidRPr="00222B38">
        <w:t> at a </w:t>
      </w:r>
      <w:r w:rsidRPr="00222B38">
        <w:rPr>
          <w:b/>
          <w:bCs/>
        </w:rPr>
        <w:t>31.89%</w:t>
      </w:r>
      <w:r w:rsidRPr="00222B38">
        <w:t> margin), followed by </w:t>
      </w:r>
      <w:r w:rsidRPr="00222B38">
        <w:rPr>
          <w:b/>
          <w:bCs/>
        </w:rPr>
        <w:t>Chairs &amp; </w:t>
      </w:r>
      <w:proofErr w:type="spellStart"/>
      <w:r w:rsidRPr="00222B38">
        <w:rPr>
          <w:b/>
          <w:bCs/>
        </w:rPr>
        <w:t>Chairmats</w:t>
      </w:r>
      <w:proofErr w:type="spellEnd"/>
      <w:r w:rsidRPr="00222B38">
        <w:t> (</w:t>
      </w:r>
      <w:r w:rsidRPr="00222B38">
        <w:rPr>
          <w:b/>
          <w:bCs/>
        </w:rPr>
        <w:t>$48,695.84</w:t>
      </w:r>
      <w:r w:rsidRPr="00222B38">
        <w:t>) and </w:t>
      </w:r>
      <w:r w:rsidRPr="00222B38">
        <w:rPr>
          <w:b/>
          <w:bCs/>
        </w:rPr>
        <w:t>Telephones &amp; Communication</w:t>
      </w:r>
      <w:r w:rsidRPr="00222B38">
        <w:t> (</w:t>
      </w:r>
      <w:r w:rsidRPr="00222B38">
        <w:rPr>
          <w:b/>
          <w:bCs/>
        </w:rPr>
        <w:t>$40,790.51</w:t>
      </w:r>
      <w:r w:rsidRPr="00222B38">
        <w:t> overall). </w:t>
      </w:r>
    </w:p>
    <w:p w14:paraId="3BBAB5B7" w14:textId="77777777" w:rsidR="00222B38" w:rsidRPr="00222B38" w:rsidRDefault="00222B38" w:rsidP="00222B38">
      <w:pPr>
        <w:numPr>
          <w:ilvl w:val="0"/>
          <w:numId w:val="6"/>
        </w:numPr>
      </w:pPr>
      <w:r w:rsidRPr="00222B38">
        <w:rPr>
          <w:b/>
          <w:bCs/>
        </w:rPr>
        <w:t>Loss Drivers:</w:t>
      </w:r>
      <w:r w:rsidRPr="00222B38">
        <w:t> The </w:t>
      </w:r>
      <w:r w:rsidRPr="00222B38">
        <w:rPr>
          <w:b/>
          <w:bCs/>
        </w:rPr>
        <w:t>Tables</w:t>
      </w:r>
      <w:r w:rsidRPr="00222B38">
        <w:t> sub-category incurred the largest total net loss across the business at </w:t>
      </w:r>
      <w:r w:rsidRPr="00222B38">
        <w:rPr>
          <w:b/>
          <w:bCs/>
        </w:rPr>
        <w:t>-$7,240.07</w:t>
      </w:r>
      <w:r w:rsidRPr="00222B38">
        <w:t> (-3.74% margin), driven by high losses in the East (-$10,627.62) and Central (-$8,115.24) regions. Additionally, </w:t>
      </w:r>
      <w:r w:rsidRPr="00222B38">
        <w:rPr>
          <w:b/>
          <w:bCs/>
        </w:rPr>
        <w:t>Office Machines</w:t>
      </w:r>
      <w:r w:rsidRPr="00222B38">
        <w:t> generates substantial revenue ($318,169.68) but yields a disproportionately low profit margin of just </w:t>
      </w:r>
      <w:r w:rsidRPr="00222B38">
        <w:rPr>
          <w:b/>
          <w:bCs/>
        </w:rPr>
        <w:t>2.77%</w:t>
      </w:r>
      <w:r w:rsidRPr="00222B38">
        <w:t>. </w:t>
      </w:r>
    </w:p>
    <w:p w14:paraId="04DA1496" w14:textId="77777777" w:rsidR="00222B38" w:rsidRPr="00222B38" w:rsidRDefault="00222B38" w:rsidP="00222B38">
      <w:r w:rsidRPr="00222B38">
        <w:rPr>
          <w:b/>
          <w:bCs/>
        </w:rPr>
        <w:t>3. High Logistics Overhead on Heavy Cargo (Delivery Truck Freight)</w:t>
      </w:r>
      <w:r w:rsidRPr="00222B38">
        <w:t> </w:t>
      </w:r>
    </w:p>
    <w:p w14:paraId="3D546F92" w14:textId="77777777" w:rsidR="00222B38" w:rsidRPr="00222B38" w:rsidRDefault="00222B38" w:rsidP="00222B38">
      <w:r w:rsidRPr="00222B38">
        <w:t>Shipping modes heavily impact category net profit. </w:t>
      </w:r>
      <w:r w:rsidRPr="00222B38">
        <w:rPr>
          <w:b/>
          <w:bCs/>
        </w:rPr>
        <w:t>Delivery Truck</w:t>
      </w:r>
      <w:r w:rsidRPr="00222B38">
        <w:t> shipping consumed </w:t>
      </w:r>
      <w:r w:rsidRPr="00222B38">
        <w:rPr>
          <w:b/>
          <w:bCs/>
        </w:rPr>
        <w:t>$12,137.80</w:t>
      </w:r>
      <w:r w:rsidRPr="00222B38">
        <w:t> in freight expenses (52.2% of total shipping costs across all modes) to transport heavy items such as </w:t>
      </w:r>
      <w:r w:rsidRPr="00222B38">
        <w:rPr>
          <w:b/>
          <w:bCs/>
        </w:rPr>
        <w:t>Tables</w:t>
      </w:r>
      <w:r w:rsidRPr="00222B38">
        <w:t> and </w:t>
      </w:r>
      <w:r w:rsidRPr="00222B38">
        <w:rPr>
          <w:b/>
          <w:bCs/>
        </w:rPr>
        <w:t>Office Machines</w:t>
      </w:r>
      <w:r w:rsidRPr="00222B38">
        <w:t>. The high baseline freight expenses associated with heavy cargo containers (e.g., Jumbo Drums) significantly reduce net margin performance relative to </w:t>
      </w:r>
      <w:r w:rsidRPr="00222B38">
        <w:rPr>
          <w:b/>
          <w:bCs/>
        </w:rPr>
        <w:t>Regular Air</w:t>
      </w:r>
      <w:r w:rsidRPr="00222B38">
        <w:t>, which generated </w:t>
      </w:r>
      <w:r w:rsidRPr="00222B38">
        <w:rPr>
          <w:b/>
          <w:bCs/>
        </w:rPr>
        <w:t>$149,751.80</w:t>
      </w:r>
      <w:r w:rsidRPr="00222B38">
        <w:t> in net profit at a lower freight cost footprint ($10,984.57). </w:t>
      </w:r>
    </w:p>
    <w:p w14:paraId="6B490CE7" w14:textId="77777777" w:rsidR="00222B38" w:rsidRPr="00222B38" w:rsidRDefault="00222B38" w:rsidP="00222B38">
      <w:r w:rsidRPr="00222B38">
        <w:rPr>
          <w:b/>
          <w:bCs/>
        </w:rPr>
        <w:t>Strategic Recommendations</w:t>
      </w:r>
      <w:r w:rsidRPr="00222B38">
        <w:t> </w:t>
      </w:r>
    </w:p>
    <w:p w14:paraId="6C80E417" w14:textId="77777777" w:rsidR="00222B38" w:rsidRPr="00222B38" w:rsidRDefault="00222B38" w:rsidP="00222B38">
      <w:pPr>
        <w:numPr>
          <w:ilvl w:val="0"/>
          <w:numId w:val="7"/>
        </w:numPr>
      </w:pPr>
      <w:r w:rsidRPr="00222B38">
        <w:rPr>
          <w:b/>
          <w:bCs/>
        </w:rPr>
        <w:t>South Region Turnaround:</w:t>
      </w:r>
      <w:r w:rsidRPr="00222B38">
        <w:t> Conduct a targeted vendor cost and freight contract renegotiation for the South territory, specifically addressing margin bleed in Telephones and Envelopes. </w:t>
      </w:r>
    </w:p>
    <w:p w14:paraId="27BB2F08" w14:textId="77777777" w:rsidR="00222B38" w:rsidRPr="00222B38" w:rsidRDefault="00222B38" w:rsidP="00222B38">
      <w:pPr>
        <w:numPr>
          <w:ilvl w:val="0"/>
          <w:numId w:val="8"/>
        </w:numPr>
      </w:pPr>
      <w:r w:rsidRPr="00222B38">
        <w:rPr>
          <w:b/>
          <w:bCs/>
        </w:rPr>
        <w:t>Reprice / Discontinue Product Lines:</w:t>
      </w:r>
      <w:r w:rsidRPr="00222B38">
        <w:t> Restructure pricing or vendor agreements for </w:t>
      </w:r>
      <w:r w:rsidRPr="00222B38">
        <w:rPr>
          <w:b/>
          <w:bCs/>
        </w:rPr>
        <w:t>Tables</w:t>
      </w:r>
      <w:r w:rsidRPr="00222B38">
        <w:t> across the Central and East regions, and apply minimum margin floors on low-yield high-volume categories like </w:t>
      </w:r>
      <w:r w:rsidRPr="00222B38">
        <w:rPr>
          <w:b/>
          <w:bCs/>
        </w:rPr>
        <w:t>Office Machines</w:t>
      </w:r>
      <w:r w:rsidRPr="00222B38">
        <w:t>. </w:t>
      </w:r>
    </w:p>
    <w:p w14:paraId="5308164E" w14:textId="77777777" w:rsidR="00222B38" w:rsidRPr="00222B38" w:rsidRDefault="00222B38" w:rsidP="00222B38">
      <w:r w:rsidRPr="00222B38">
        <w:t> </w:t>
      </w:r>
      <w:r w:rsidRPr="00222B38">
        <w:br/>
        <w:t> </w:t>
      </w:r>
      <w:r w:rsidRPr="00222B38">
        <w:br/>
        <w:t>"Region": ["North", "South", "East", "West", "Central"] </w:t>
      </w:r>
    </w:p>
    <w:p w14:paraId="784C845A" w14:textId="77777777" w:rsidR="00222B38" w:rsidRPr="00222B38" w:rsidRDefault="00222B38" w:rsidP="00222B38">
      <w:r w:rsidRPr="00222B38">
        <w:t> "</w:t>
      </w:r>
      <w:proofErr w:type="spellStart"/>
      <w:r w:rsidRPr="00222B38">
        <w:t>Total_Sales</w:t>
      </w:r>
      <w:proofErr w:type="spellEnd"/>
      <w:r w:rsidRPr="00222B38">
        <w:t>": [0.00, 357105.12, 592171.49, 526776.57, 448284.70] </w:t>
      </w:r>
      <w:r w:rsidRPr="00222B38">
        <w:br/>
        <w:t> </w:t>
      </w:r>
      <w:r w:rsidRPr="00222B38">
        <w:br/>
      </w:r>
      <w:r w:rsidRPr="00222B38">
        <w:rPr>
          <w:b/>
          <w:bCs/>
        </w:rPr>
        <w:t>Executive Action Required:</w:t>
      </w:r>
      <w:r w:rsidRPr="00222B38">
        <w:t> </w:t>
      </w:r>
    </w:p>
    <w:p w14:paraId="2A7E5E9E" w14:textId="77777777" w:rsidR="00222B38" w:rsidRPr="00222B38" w:rsidRDefault="00222B38" w:rsidP="00222B38">
      <w:pPr>
        <w:numPr>
          <w:ilvl w:val="0"/>
          <w:numId w:val="9"/>
        </w:numPr>
      </w:pPr>
      <w:r w:rsidRPr="00222B38">
        <w:rPr>
          <w:b/>
          <w:bCs/>
        </w:rPr>
        <w:t>South Region Margin Turnaround:</w:t>
      </w:r>
      <w:r w:rsidRPr="00222B38">
        <w:t> Immediately audit pricing, vendor contracts, and shipping </w:t>
      </w:r>
      <w:proofErr w:type="spellStart"/>
      <w:r w:rsidRPr="00222B38">
        <w:t>fulfillment</w:t>
      </w:r>
      <w:proofErr w:type="spellEnd"/>
      <w:r w:rsidRPr="00222B38">
        <w:t> in the South territory to address the </w:t>
      </w:r>
      <w:r w:rsidRPr="00222B38">
        <w:rPr>
          <w:b/>
          <w:bCs/>
        </w:rPr>
        <w:t>-$14,424.05</w:t>
      </w:r>
      <w:r w:rsidRPr="00222B38">
        <w:t> net deficit (-4.04% margin) despite generating </w:t>
      </w:r>
      <w:r w:rsidRPr="00222B38">
        <w:rPr>
          <w:b/>
          <w:bCs/>
        </w:rPr>
        <w:t>$357,105.12</w:t>
      </w:r>
      <w:r w:rsidRPr="00222B38">
        <w:t> in total revenue. </w:t>
      </w:r>
    </w:p>
    <w:p w14:paraId="4D0098DB" w14:textId="77777777" w:rsidR="00222B38" w:rsidRPr="00222B38" w:rsidRDefault="00222B38" w:rsidP="00222B38">
      <w:pPr>
        <w:numPr>
          <w:ilvl w:val="0"/>
          <w:numId w:val="10"/>
        </w:numPr>
      </w:pPr>
      <w:r w:rsidRPr="00222B38">
        <w:rPr>
          <w:b/>
          <w:bCs/>
        </w:rPr>
        <w:lastRenderedPageBreak/>
        <w:t>Expansion &amp; Inventory Allocation in High-Performing Territories:</w:t>
      </w:r>
      <w:r w:rsidRPr="00222B38">
        <w:t> Reallocate marketing budget and top-tier inventory toward the </w:t>
      </w:r>
      <w:r w:rsidRPr="00222B38">
        <w:rPr>
          <w:b/>
          <w:bCs/>
        </w:rPr>
        <w:t>East</w:t>
      </w:r>
      <w:r w:rsidRPr="00222B38">
        <w:t> ($592,171.49 sales; $85,291.40 profit) and </w:t>
      </w:r>
      <w:r w:rsidRPr="00222B38">
        <w:rPr>
          <w:b/>
          <w:bCs/>
        </w:rPr>
        <w:t>West</w:t>
      </w:r>
      <w:r w:rsidRPr="00222B38">
        <w:t> ($526,776.57 sales; $75,844.79 profit) regions to capitalize on strong demand and ~14.4% profit margins. </w:t>
      </w:r>
    </w:p>
    <w:p w14:paraId="2AF4F203" w14:textId="77777777" w:rsidR="00222B38" w:rsidRPr="00222B38" w:rsidRDefault="00222B38" w:rsidP="00222B38">
      <w:pPr>
        <w:numPr>
          <w:ilvl w:val="0"/>
          <w:numId w:val="11"/>
        </w:numPr>
      </w:pPr>
      <w:r w:rsidRPr="00222B38">
        <w:rPr>
          <w:b/>
          <w:bCs/>
        </w:rPr>
        <w:t>Territory Mapping Verification (North Region):</w:t>
      </w:r>
      <w:r w:rsidRPr="00222B38">
        <w:t> Investigate why the </w:t>
      </w:r>
      <w:r w:rsidRPr="00222B38">
        <w:rPr>
          <w:b/>
          <w:bCs/>
        </w:rPr>
        <w:t>North</w:t>
      </w:r>
      <w:r w:rsidRPr="00222B38">
        <w:t> region recorded </w:t>
      </w:r>
      <w:r w:rsidRPr="00222B38">
        <w:rPr>
          <w:b/>
          <w:bCs/>
        </w:rPr>
        <w:t>$0.00</w:t>
      </w:r>
      <w:r w:rsidRPr="00222B38">
        <w:t> in sales to determine if it represents an unpenetrated market opportunity or a data pipeline mapping error. </w:t>
      </w:r>
    </w:p>
    <w:p w14:paraId="11F51883" w14:textId="77777777" w:rsidR="00222B38" w:rsidRPr="00222B38" w:rsidRDefault="00222B38" w:rsidP="00222B38">
      <w:r w:rsidRPr="00222B38">
        <w:t> </w:t>
      </w:r>
      <w:r w:rsidRPr="00222B38">
        <w:br/>
        <w:t>Revenue: </w:t>
      </w:r>
      <w:r w:rsidRPr="00222B38">
        <w:rPr>
          <w:b/>
          <w:bCs/>
        </w:rPr>
        <w:t>$320,722.98 </w:t>
      </w:r>
      <w:proofErr w:type="spellStart"/>
      <w:r w:rsidRPr="00222B38">
        <w:rPr>
          <w:b/>
          <w:bCs/>
        </w:rPr>
        <w:t>Avg</w:t>
      </w:r>
      <w:proofErr w:type="spellEnd"/>
      <w:r w:rsidRPr="00222B38">
        <w:rPr>
          <w:b/>
          <w:bCs/>
        </w:rPr>
        <w:t>/Mo</w:t>
      </w:r>
      <w:r w:rsidRPr="00222B38">
        <w:t> (+15.9% H1 Growth) Top Performer: </w:t>
      </w:r>
      <w:r w:rsidRPr="00222B38">
        <w:rPr>
          <w:b/>
          <w:bCs/>
        </w:rPr>
        <w:t>Office Machines</w:t>
      </w:r>
      <w:r w:rsidRPr="00222B38">
        <w:t> ($318,169.68 Sales) / </w:t>
      </w:r>
      <w:r w:rsidRPr="00222B38">
        <w:rPr>
          <w:b/>
          <w:bCs/>
        </w:rPr>
        <w:t>Binders &amp; Binder Accessories</w:t>
      </w:r>
      <w:r w:rsidRPr="00222B38">
        <w:t> ($59,296.39 Profit) Primary Risk: </w:t>
      </w:r>
      <w:r w:rsidRPr="00222B38">
        <w:rPr>
          <w:b/>
          <w:bCs/>
        </w:rPr>
        <w:t>South Region Margin Deficit</w:t>
      </w:r>
      <w:r w:rsidRPr="00222B38">
        <w:t> (-$14,424.05 Loss) &amp; </w:t>
      </w:r>
      <w:r w:rsidRPr="00222B38">
        <w:rPr>
          <w:b/>
          <w:bCs/>
        </w:rPr>
        <w:t>Tables Sub-Category Loss</w:t>
      </w:r>
      <w:r w:rsidRPr="00222B38">
        <w:t> (-$7,240.07 Net Deficit) </w:t>
      </w:r>
    </w:p>
    <w:p w14:paraId="02BA0EA5" w14:textId="77777777" w:rsidR="00222B38" w:rsidRPr="00222B38" w:rsidRDefault="00222B38" w:rsidP="00222B38">
      <w:r w:rsidRPr="00222B38">
        <w:rPr>
          <w:b/>
          <w:bCs/>
        </w:rPr>
        <w:t>Key Strategic Recommendations:</w:t>
      </w:r>
      <w:r w:rsidRPr="00222B38">
        <w:t> </w:t>
      </w:r>
    </w:p>
    <w:p w14:paraId="36D07422" w14:textId="77777777" w:rsidR="00222B38" w:rsidRPr="00222B38" w:rsidRDefault="00222B38" w:rsidP="00222B38">
      <w:pPr>
        <w:numPr>
          <w:ilvl w:val="0"/>
          <w:numId w:val="12"/>
        </w:numPr>
      </w:pPr>
      <w:r w:rsidRPr="00222B38">
        <w:rPr>
          <w:b/>
          <w:bCs/>
        </w:rPr>
        <w:t>Restructure Freight &amp; Logistics in Unprofitable Categories:</w:t>
      </w:r>
      <w:r w:rsidRPr="00222B38">
        <w:t> Shift freight handling for heavy cargo items (e.g., </w:t>
      </w:r>
      <w:r w:rsidRPr="00222B38">
        <w:rPr>
          <w:b/>
          <w:bCs/>
        </w:rPr>
        <w:t>Tables</w:t>
      </w:r>
      <w:r w:rsidRPr="00222B38">
        <w:t> and </w:t>
      </w:r>
      <w:r w:rsidRPr="00222B38">
        <w:rPr>
          <w:b/>
          <w:bCs/>
        </w:rPr>
        <w:t>Office Machines</w:t>
      </w:r>
      <w:r w:rsidRPr="00222B38">
        <w:t>) from high-cost </w:t>
      </w:r>
      <w:r w:rsidRPr="00222B38">
        <w:rPr>
          <w:b/>
          <w:bCs/>
        </w:rPr>
        <w:t>Delivery Truck</w:t>
      </w:r>
      <w:r w:rsidRPr="00222B38">
        <w:t> logistics to optimized regional distribution hubs to turn around negative margins (-3.74% on Tables). </w:t>
      </w:r>
    </w:p>
    <w:p w14:paraId="76040BED" w14:textId="77777777" w:rsidR="00222B38" w:rsidRPr="00222B38" w:rsidRDefault="00222B38" w:rsidP="00222B38">
      <w:pPr>
        <w:numPr>
          <w:ilvl w:val="0"/>
          <w:numId w:val="13"/>
        </w:numPr>
      </w:pPr>
      <w:r w:rsidRPr="00222B38">
        <w:rPr>
          <w:b/>
          <w:bCs/>
        </w:rPr>
        <w:t>Execute Targeted Pricing &amp; Contract Turnaround in the South Territory:</w:t>
      </w:r>
      <w:r w:rsidRPr="00222B38">
        <w:t> Re-evaluate supplier contracts and discount structures for </w:t>
      </w:r>
      <w:r w:rsidRPr="00222B38">
        <w:rPr>
          <w:b/>
          <w:bCs/>
        </w:rPr>
        <w:t>Telephones &amp; Communication</w:t>
      </w:r>
      <w:r w:rsidRPr="00222B38">
        <w:t> in the South region, which accounts for </w:t>
      </w:r>
      <w:r w:rsidRPr="00222B38">
        <w:rPr>
          <w:b/>
          <w:bCs/>
        </w:rPr>
        <w:t>-$12,904.99</w:t>
      </w:r>
      <w:r w:rsidRPr="00222B38">
        <w:t> of the region's overall </w:t>
      </w:r>
      <w:r w:rsidRPr="00222B38">
        <w:rPr>
          <w:b/>
          <w:bCs/>
        </w:rPr>
        <w:t>-$14,424.05</w:t>
      </w:r>
      <w:r w:rsidRPr="00222B38">
        <w:t> loss. </w:t>
      </w:r>
    </w:p>
    <w:p w14:paraId="144A7032" w14:textId="77777777" w:rsidR="00222B38" w:rsidRPr="00222B38" w:rsidRDefault="00222B38" w:rsidP="00222B38">
      <w:pPr>
        <w:numPr>
          <w:ilvl w:val="0"/>
          <w:numId w:val="14"/>
        </w:numPr>
      </w:pPr>
      <w:r w:rsidRPr="00222B38">
        <w:rPr>
          <w:b/>
          <w:bCs/>
        </w:rPr>
        <w:t>Double Down on High-Margin Core Products:</w:t>
      </w:r>
      <w:r w:rsidRPr="00222B38">
        <w:t> Reallocate inventory investment and marketing resources toward </w:t>
      </w:r>
      <w:r w:rsidRPr="00222B38">
        <w:rPr>
          <w:b/>
          <w:bCs/>
        </w:rPr>
        <w:t>Binders and Binder Accessories</w:t>
      </w:r>
      <w:r w:rsidRPr="00222B38">
        <w:t> (31.89% profit margin) and </w:t>
      </w:r>
      <w:r w:rsidRPr="00222B38">
        <w:rPr>
          <w:b/>
          <w:bCs/>
        </w:rPr>
        <w:t>Chairs &amp; </w:t>
      </w:r>
      <w:proofErr w:type="spellStart"/>
      <w:r w:rsidRPr="00222B38">
        <w:rPr>
          <w:b/>
          <w:bCs/>
        </w:rPr>
        <w:t>Chairmats</w:t>
      </w:r>
      <w:proofErr w:type="spellEnd"/>
      <w:r w:rsidRPr="00222B38">
        <w:t> to maximize total net bottom-line return. </w:t>
      </w:r>
    </w:p>
    <w:p w14:paraId="06BEF3A0" w14:textId="77777777" w:rsidR="00222B38" w:rsidRPr="00222B38" w:rsidRDefault="00222B38" w:rsidP="00222B38">
      <w:r w:rsidRPr="00222B38">
        <w:t> </w:t>
      </w:r>
    </w:p>
    <w:p w14:paraId="7042C7F8" w14:textId="77777777" w:rsidR="00E15B76" w:rsidRPr="00222B38" w:rsidRDefault="00E15B76" w:rsidP="00222B38"/>
    <w:sectPr w:rsidR="00E15B76" w:rsidRPr="00222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1BE8"/>
    <w:multiLevelType w:val="multilevel"/>
    <w:tmpl w:val="89CE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F5696"/>
    <w:multiLevelType w:val="multilevel"/>
    <w:tmpl w:val="0E2E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112928"/>
    <w:multiLevelType w:val="multilevel"/>
    <w:tmpl w:val="41E2C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A6663A"/>
    <w:multiLevelType w:val="multilevel"/>
    <w:tmpl w:val="1CE0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0A79EA"/>
    <w:multiLevelType w:val="multilevel"/>
    <w:tmpl w:val="D652B1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813443"/>
    <w:multiLevelType w:val="multilevel"/>
    <w:tmpl w:val="52C85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935661"/>
    <w:multiLevelType w:val="multilevel"/>
    <w:tmpl w:val="FEBE6F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7B1770"/>
    <w:multiLevelType w:val="multilevel"/>
    <w:tmpl w:val="A5484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B07F4C"/>
    <w:multiLevelType w:val="multilevel"/>
    <w:tmpl w:val="D16E1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F42214"/>
    <w:multiLevelType w:val="multilevel"/>
    <w:tmpl w:val="1848C0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9E4A86"/>
    <w:multiLevelType w:val="multilevel"/>
    <w:tmpl w:val="8E4C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2CE1818"/>
    <w:multiLevelType w:val="multilevel"/>
    <w:tmpl w:val="EDE03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5C71B4"/>
    <w:multiLevelType w:val="multilevel"/>
    <w:tmpl w:val="957664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FD6668"/>
    <w:multiLevelType w:val="multilevel"/>
    <w:tmpl w:val="FB28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6023633">
    <w:abstractNumId w:val="11"/>
  </w:num>
  <w:num w:numId="2" w16cid:durableId="1548294125">
    <w:abstractNumId w:val="5"/>
  </w:num>
  <w:num w:numId="3" w16cid:durableId="1073970124">
    <w:abstractNumId w:val="0"/>
  </w:num>
  <w:num w:numId="4" w16cid:durableId="592858683">
    <w:abstractNumId w:val="2"/>
  </w:num>
  <w:num w:numId="5" w16cid:durableId="1509903982">
    <w:abstractNumId w:val="3"/>
  </w:num>
  <w:num w:numId="6" w16cid:durableId="114906901">
    <w:abstractNumId w:val="1"/>
  </w:num>
  <w:num w:numId="7" w16cid:durableId="671028564">
    <w:abstractNumId w:val="13"/>
  </w:num>
  <w:num w:numId="8" w16cid:durableId="1080253324">
    <w:abstractNumId w:val="10"/>
  </w:num>
  <w:num w:numId="9" w16cid:durableId="391854828">
    <w:abstractNumId w:val="8"/>
  </w:num>
  <w:num w:numId="10" w16cid:durableId="2003578841">
    <w:abstractNumId w:val="4"/>
  </w:num>
  <w:num w:numId="11" w16cid:durableId="510951311">
    <w:abstractNumId w:val="6"/>
  </w:num>
  <w:num w:numId="12" w16cid:durableId="1533811465">
    <w:abstractNumId w:val="7"/>
  </w:num>
  <w:num w:numId="13" w16cid:durableId="1644307924">
    <w:abstractNumId w:val="9"/>
  </w:num>
  <w:num w:numId="14" w16cid:durableId="6225412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B76"/>
    <w:rsid w:val="00222B38"/>
    <w:rsid w:val="00363CC7"/>
    <w:rsid w:val="008E6469"/>
    <w:rsid w:val="00E05A55"/>
    <w:rsid w:val="00E15B76"/>
    <w:rsid w:val="00E86CAB"/>
    <w:rsid w:val="00FD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69EBE"/>
  <w15:chartTrackingRefBased/>
  <w15:docId w15:val="{E8391BBC-137A-4CF6-9D65-E0E3A3125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B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B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B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B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B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625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Saini</dc:creator>
  <cp:keywords/>
  <dc:description/>
  <cp:lastModifiedBy>Sahil Saini</cp:lastModifiedBy>
  <cp:revision>3</cp:revision>
  <dcterms:created xsi:type="dcterms:W3CDTF">2026-08-20T03:13:00Z</dcterms:created>
  <dcterms:modified xsi:type="dcterms:W3CDTF">2026-08-21T01:41:00Z</dcterms:modified>
</cp:coreProperties>
</file>