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ptos Display" w:hAnsi="Aptos Display"/>
          <w:b/>
          <w:color w:val="16324F"/>
          <w:sz w:val="60"/>
        </w:rPr>
        <w:t>ENTERPRISE</w:t>
        <w:br/>
        <w:t>EMPLOYEE HANDBOOK</w:t>
      </w:r>
    </w:p>
    <w:p>
      <w:pPr>
        <w:jc w:val="center"/>
      </w:pPr>
      <w:r>
        <w:rPr>
          <w:b/>
          <w:color w:val="1F5D80"/>
          <w:sz w:val="20"/>
        </w:rPr>
        <w:t>CORPORATE GOVERNANCE • WORKPLACE ETHICS • OPERATIONAL STANDARDS</w:t>
      </w:r>
    </w:p>
    <w:p>
      <w:pPr>
        <w:jc w:val="center"/>
      </w:pPr>
      <w:r>
        <w:rPr>
          <w:i/>
          <w:sz w:val="22"/>
        </w:rPr>
        <w:t>Professional Employee Policy Framework</w:t>
      </w:r>
    </w:p>
    <w:p>
      <w:pPr>
        <w:spacing w:before="2000"/>
        <w:jc w:val="center"/>
      </w:pPr>
      <w:r>
        <w:rPr>
          <w:b/>
          <w:color w:val="646E78"/>
          <w:sz w:val="18"/>
        </w:rPr>
        <w:t>CONFIDENTIAL INTERNAL POLICY DOCUMENT</w:t>
      </w:r>
    </w:p>
    <w:p>
      <w:pPr>
        <w:jc w:val="center"/>
      </w:pPr>
      <w:r>
        <w:rPr>
          <w:color w:val="646E78"/>
          <w:sz w:val="18"/>
        </w:rPr>
        <w:t>Prepared for organizational adaptation and HR/legal review</w:t>
      </w:r>
    </w:p>
    <w:p>
      <w:r>
        <w:br w:type="page"/>
      </w:r>
    </w:p>
    <w:p>
      <w:pPr>
        <w:pStyle w:val="Heading1"/>
      </w:pPr>
      <w:r>
        <w:t>1. Welcome &amp; Corporate Governance</w:t>
      </w:r>
    </w:p>
    <w:p>
      <w:pPr>
        <w:pStyle w:val="Heading2"/>
      </w:pPr>
      <w:r>
        <w:t>1.1 Welcome Message from Leadership</w:t>
      </w:r>
    </w:p>
    <w:p>
      <w:r>
        <w:t>Welcome to the organization. You have been selected because of your talent, dedication, and alignment with our core values. This Employee Handbook is intended to help you understand the workplace culture, operating expectations, people policies, and the rights and responsibilities associated with your role. We aim to create an inclusive, innovative, and high-performance environment where people can contribute meaningfully, collaborate respectfully, and continue to develop professionally.</w:t>
      </w:r>
    </w:p>
    <w:p>
      <w:r>
        <w:t>Every employee contributes to the organization’s reputation. We encourage open communication, thoughtful decision-making, accountability, and a willingness to learn. Employees should consult their manager or Human Resources (HR) whenever a policy is unclear or a situation requires guidance.</w:t>
      </w:r>
    </w:p>
    <w:p>
      <w:pPr>
        <w:pStyle w:val="Heading2"/>
      </w:pPr>
      <w:r>
        <w:t>1.2 Mission, Vision &amp; Core Values</w:t>
      </w:r>
    </w:p>
    <w:p>
      <w:pPr>
        <w:pStyle w:val="ListBullet"/>
      </w:pPr>
      <w:r>
        <w:t>Mission: Deliver cutting-edge technology and data-driven solutions to complex enterprise challenges while maintaining integrity and customer focus.</w:t>
      </w:r>
    </w:p>
    <w:p>
      <w:pPr>
        <w:pStyle w:val="ListBullet"/>
      </w:pPr>
      <w:r>
        <w:t>Vision: Become a global leader in innovation, recognized for excellence, employee empowerment, and ethical business standards.</w:t>
      </w:r>
    </w:p>
    <w:p>
      <w:pPr>
        <w:pStyle w:val="ListBullet"/>
      </w:pPr>
      <w:r>
        <w:t>PRIDE values: Professionalism, Respect, Innovation, Dedication, and Ethics. These values should guide everyday decisions, interactions, and the way employees represent the organization.</w:t>
      </w:r>
    </w:p>
    <w:p>
      <w:pPr>
        <w:pStyle w:val="Heading2"/>
      </w:pPr>
      <w:r>
        <w:t>1.3 Purpose, Scope &amp; Policy Ownership</w:t>
      </w:r>
    </w:p>
    <w:p>
      <w:r>
        <w:t>This handbook applies to full-time employees, part-time staff, interns, trainees, consultants, and contractors, subject to the terms of their agreements and applicable law. It summarizes key workplace standards and is not intended to replace an individual employment contract, benefit plan document, or statutory requirement.</w:t>
      </w:r>
    </w:p>
    <w:p>
      <w:r>
        <w:t>HR is responsible for maintaining policy documentation and communicating approved revisions. Employees are expected to read relevant policies, seek clarification when needed, and follow the current approved version. Where local law, a signed agreement, or a formal policy provides a different mandatory requirement, the applicable requirement should be referred to HR for review.</w:t>
      </w:r>
    </w:p>
    <w:tbl>
      <w:tblPr>
        <w:tblW w:type="auto" w:w="0"/>
        <w:jc w:val="center"/>
        <w:tblLook w:firstColumn="1" w:firstRow="1" w:lastColumn="0" w:lastRow="0" w:noHBand="0" w:noVBand="1" w:val="04A0"/>
      </w:tblPr>
      <w:tblGrid>
        <w:gridCol w:w="9878"/>
      </w:tblGrid>
      <w:tr>
        <w:tc>
          <w:tcPr>
            <w:tcW w:type="dxa" w:w="9878"/>
            <w:shd w:fill="EEF4F8"/>
          </w:tcPr>
          <w:p>
            <w:r>
              <w:rPr>
                <w:color w:val="233A4B"/>
                <w:sz w:val="18"/>
              </w:rPr>
              <w:t>Important disclaimer: This handbook is a general policy framework and does not create an express or implied employment contract. Management may review, amend, or withdraw policies in accordance with applicable law and contractual obligations. Before formal company-wide adoption, HR and legal counsel should review this document for the organization’s jurisdiction and circumstances.</w:t>
            </w:r>
          </w:p>
        </w:tc>
      </w:tr>
    </w:tbl>
    <w:p/>
    <w:p>
      <w:pPr>
        <w:pStyle w:val="Heading1"/>
      </w:pPr>
      <w:r>
        <w:t>2. Employment Basics &amp; Classifications</w:t>
      </w:r>
    </w:p>
    <w:p>
      <w:pPr>
        <w:pStyle w:val="Heading2"/>
      </w:pPr>
      <w:r>
        <w:t>2.1 Employment Classifications</w:t>
      </w:r>
    </w:p>
    <w:p>
      <w:pPr>
        <w:pStyle w:val="ListBullet"/>
      </w:pPr>
      <w:r>
        <w:t>Full-time employees: Personnel working the organization’s standard full-time schedule. The source framework describes a minimum of 40 hours per week and eligibility for company benefits, subject to the applicable plan terms and eligibility rules.</w:t>
      </w:r>
    </w:p>
    <w:p>
      <w:pPr>
        <w:pStyle w:val="ListBullet"/>
      </w:pPr>
      <w:r>
        <w:t>Part-time employees: Personnel working fewer scheduled hours. Benefits, leave, and other entitlements may be prorated or determined under applicable law and the employee’s agreement.</w:t>
      </w:r>
    </w:p>
    <w:p>
      <w:pPr>
        <w:pStyle w:val="ListBullet"/>
      </w:pPr>
      <w:r>
        <w:t>Interns and trainees: Individuals engaged in structured learning, skill development, mentored project work, and professional exposure under a defined internship or training arrangement.</w:t>
      </w:r>
    </w:p>
    <w:p>
      <w:pPr>
        <w:pStyle w:val="ListBullet"/>
      </w:pPr>
      <w:r>
        <w:t>Contractors and consultants: External professionals engaged for a defined scope of work under a services agreement or statement of work. Their terms are governed by the applicable agreement and law.</w:t>
      </w:r>
    </w:p>
    <w:p>
      <w:pPr>
        <w:pStyle w:val="Heading2"/>
      </w:pPr>
      <w:r>
        <w:t>2.2 Recruitment, Joining &amp; Documentation</w:t>
      </w:r>
    </w:p>
    <w:p>
      <w:r>
        <w:t>Employees should provide accurate joining information and complete required onboarding documents within the timelines communicated by HR. Any material change to contact details, emergency contact information, banking details, or other employment records should be reported through the approved process. Access credentials and company records must be handled securely.</w:t>
      </w:r>
    </w:p>
    <w:p>
      <w:pPr>
        <w:pStyle w:val="Heading2"/>
      </w:pPr>
      <w:r>
        <w:t>2.3 Probationary Period</w:t>
      </w:r>
    </w:p>
    <w:p>
      <w:r>
        <w:t>The source framework specifies an initial 90-day probationary period for newly hired full-time employees and interns. During this period, the employee and manager should assess role expectations, work quality, collaboration, reliability, learning progress, and overall role alignment. Managers should provide timely feedback, identify support or training needs, and document material performance discussions. Confirmation, extension, or other outcomes should be communicated formally and handled consistently with the relevant agreement and applicable law.</w:t>
      </w:r>
    </w:p>
    <w:p>
      <w:pPr>
        <w:pStyle w:val="Heading2"/>
      </w:pPr>
      <w:r>
        <w:t>2.4 Working Hours, Attendance &amp; Flexibility</w:t>
      </w:r>
    </w:p>
    <w:p>
      <w:r>
        <w:t>The standard schedule in the source framework is Monday through Friday, 9:00 AM to 6:00 PM local time, with hybrid flexibility where approved. Employees should follow their assigned schedule, record attendance accurately where required, and notify their manager as early as reasonably possible when delayed or unable to attend. Breaks, overtime, weekly rest, and local scheduling requirements must follow applicable law and approved company arrangements.</w:t>
      </w:r>
    </w:p>
    <w:p>
      <w:r>
        <w:t>Remote or hybrid work is subject to role suitability, manager approval, information-security requirements, and business needs. Employees working remotely should remain reachable during agreed working hours, protect confidential information, and maintain a safe and professional work environment.</w:t>
      </w:r>
    </w:p>
    <w:p>
      <w:pPr>
        <w:pStyle w:val="Heading1"/>
      </w:pPr>
      <w:r>
        <w:t>3. Workplace Ethics &amp; Code of Conduct</w:t>
      </w:r>
    </w:p>
    <w:p>
      <w:pPr>
        <w:pStyle w:val="Heading2"/>
      </w:pPr>
      <w:r>
        <w:t>3.1 Professional Conduct</w:t>
      </w:r>
    </w:p>
    <w:p>
      <w:r>
        <w:t>Employees are expected to act honestly, respectfully, and responsibly. Professional conduct includes communicating courteously, meeting reasonable commitments, using company resources appropriately, protecting confidential information, and avoiding behavior that undermines colleagues or business operations. Disagreements should be handled constructively and escalated through appropriate channels when necessary.</w:t>
      </w:r>
    </w:p>
    <w:p>
      <w:pPr>
        <w:pStyle w:val="Heading2"/>
      </w:pPr>
      <w:r>
        <w:t>3.2 Conflicts of Interest</w:t>
      </w:r>
    </w:p>
    <w:p>
      <w:r>
        <w:t>Actual, potential, or perceived conflicts of interest—whether personal, financial, or social—must be disclosed promptly in writing to the HR Business Partner (HRBP) or the designated compliance contact. Employees should not make decisions where personal interests could improperly influence professional judgment.</w:t>
      </w:r>
    </w:p>
    <w:tbl>
      <w:tblPr>
        <w:tblW w:type="auto" w:w="0"/>
        <w:jc w:val="center"/>
        <w:tblLook w:firstColumn="1" w:firstRow="1" w:lastColumn="0" w:lastRow="0" w:noHBand="0" w:noVBand="1" w:val="04A0"/>
      </w:tblPr>
      <w:tblGrid>
        <w:gridCol w:w="9878"/>
      </w:tblGrid>
      <w:tr>
        <w:tc>
          <w:tcPr>
            <w:tcW w:type="dxa" w:w="9878"/>
            <w:shd w:fill="EEF4F8"/>
          </w:tcPr>
          <w:p>
            <w:r>
              <w:rPr>
                <w:color w:val="233A4B"/>
                <w:sz w:val="18"/>
              </w:rPr>
              <w:t>Example: If an employee’s immediate family member operates a vendor firm bidding for company work, the employee must disclose the relationship and step away from the vendor evaluation or approval process unless the designated authority provides a documented, appropriate direction.</w:t>
            </w:r>
          </w:p>
        </w:tc>
      </w:tr>
    </w:tbl>
    <w:p/>
    <w:p>
      <w:pPr>
        <w:pStyle w:val="Heading2"/>
      </w:pPr>
      <w:r>
        <w:t>3.3 Confidentiality &amp; Data Protection</w:t>
      </w:r>
    </w:p>
    <w:p>
      <w:r>
        <w:t>Non-public business, employee, customer, financial, technical, and operational information should only be accessed and shared for legitimate work purposes and with authorized recipients. Employees must use approved systems, protect passwords and authentication methods, verify recipients before sending sensitive material, and report suspected loss, unauthorized access, or accidental disclosure promptly.</w:t>
      </w:r>
    </w:p>
    <w:p>
      <w:pPr>
        <w:pStyle w:val="Heading2"/>
      </w:pPr>
      <w:r>
        <w:t>3.4 Use of Company Assets &amp; Systems</w:t>
      </w:r>
    </w:p>
    <w:p>
      <w:r>
        <w:t>Company devices, accounts, software, data, facilities, and funds should be used responsibly and primarily for authorized business activities. Employees must follow IT and security instructions, avoid installing unapproved software, preserve records when required, and return company property at the end of employment or engagement.</w:t>
      </w:r>
    </w:p>
    <w:p>
      <w:pPr>
        <w:pStyle w:val="Heading2"/>
      </w:pPr>
      <w:r>
        <w:t>3.5 Respectful Workplace, Equal Opportunity &amp; Anti-Harassment</w:t>
      </w:r>
    </w:p>
    <w:p>
      <w:r>
        <w:t>The organization expects a workplace free from intimidation, bullying, discrimination, and harassment. Employees should treat colleagues, applicants, customers, vendors, and visitors with dignity. Concerns should be reported through a manager, HR, or the designated complaints mechanism. Reports should be handled discreetly, fairly, and in accordance with applicable law and company procedures. Retaliation against a person who raises a concern in good faith or participates in an inquiry is not acceptable.</w:t>
      </w:r>
    </w:p>
    <w:p>
      <w:pPr>
        <w:pStyle w:val="Heading2"/>
      </w:pPr>
      <w:r>
        <w:t>3.6 Gifts, Integrity &amp; Accurate Records</w:t>
      </w:r>
    </w:p>
    <w:p>
      <w:r>
        <w:t>Business decisions must be based on legitimate organizational considerations. Employees should not offer, request, or accept improper benefits intended to influence a decision. Expenses, timesheets, leave records, procurement documents, and business reports must be complete and accurate. Suspected fraud, bribery, falsification, or misuse of resources should be reported through an appropriate channel.</w:t>
      </w:r>
    </w:p>
    <w:p>
      <w:pPr>
        <w:pStyle w:val="Heading1"/>
      </w:pPr>
      <w:r>
        <w:t>4. Attendance, Leave Policies &amp; Time Off</w:t>
      </w:r>
    </w:p>
    <w:p>
      <w:pPr>
        <w:pStyle w:val="Heading2"/>
      </w:pPr>
      <w:r>
        <w:t>4.1 Leave Categories &amp; Entitlements</w:t>
      </w:r>
    </w:p>
    <w:p>
      <w:r>
        <w:t>The following annual leave figures are reproduced from the source framework. Eligibility, accrual, carry-forward, approval, encashment, and statutory requirements should be confirmed against the organization’s approved leave rules and applicable law.</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16324F"/>
          </w:tcPr>
          <w:p>
            <w:r>
              <w:rPr>
                <w:b/>
                <w:color w:val="FFFFFF"/>
                <w:sz w:val="16"/>
              </w:rPr>
              <w:t>Leave Type</w:t>
            </w:r>
          </w:p>
        </w:tc>
        <w:tc>
          <w:tcPr>
            <w:tcW w:type="dxa" w:w="3293"/>
            <w:shd w:fill="16324F"/>
          </w:tcPr>
          <w:p>
            <w:r>
              <w:rPr>
                <w:b/>
                <w:color w:val="FFFFFF"/>
                <w:sz w:val="16"/>
              </w:rPr>
              <w:t>Annual Entitlement</w:t>
            </w:r>
          </w:p>
        </w:tc>
        <w:tc>
          <w:tcPr>
            <w:tcW w:type="dxa" w:w="3293"/>
            <w:shd w:fill="16324F"/>
          </w:tcPr>
          <w:p>
            <w:r>
              <w:rPr>
                <w:b/>
                <w:color w:val="FFFFFF"/>
                <w:sz w:val="16"/>
              </w:rPr>
              <w:t>Operational Guidelines</w:t>
            </w:r>
          </w:p>
        </w:tc>
      </w:tr>
      <w:tr>
        <w:tc>
          <w:tcPr>
            <w:tcW w:type="dxa" w:w="3293"/>
          </w:tcPr>
          <w:p>
            <w:pPr>
              <w:spacing w:after="40"/>
            </w:pPr>
            <w:r>
              <w:rPr>
                <w:sz w:val="16"/>
              </w:rPr>
              <w:t>Casual Leave (CL)</w:t>
            </w:r>
          </w:p>
        </w:tc>
        <w:tc>
          <w:tcPr>
            <w:tcW w:type="dxa" w:w="3293"/>
          </w:tcPr>
          <w:p>
            <w:pPr>
              <w:spacing w:after="40"/>
            </w:pPr>
            <w:r>
              <w:rPr>
                <w:sz w:val="16"/>
              </w:rPr>
              <w:t>12 days</w:t>
            </w:r>
          </w:p>
        </w:tc>
        <w:tc>
          <w:tcPr>
            <w:tcW w:type="dxa" w:w="3293"/>
          </w:tcPr>
          <w:p>
            <w:pPr>
              <w:spacing w:after="40"/>
            </w:pPr>
            <w:r>
              <w:rPr>
                <w:sz w:val="16"/>
              </w:rPr>
              <w:t>For urgent personal matters or unexpected short-term absences. Notify the manager as early as practical.</w:t>
            </w:r>
          </w:p>
        </w:tc>
      </w:tr>
      <w:tr>
        <w:tc>
          <w:tcPr>
            <w:tcW w:type="dxa" w:w="3293"/>
          </w:tcPr>
          <w:p>
            <w:pPr>
              <w:spacing w:after="40"/>
            </w:pPr>
            <w:r>
              <w:rPr>
                <w:sz w:val="16"/>
              </w:rPr>
              <w:t>Earned Leave (EL)</w:t>
            </w:r>
          </w:p>
        </w:tc>
        <w:tc>
          <w:tcPr>
            <w:tcW w:type="dxa" w:w="3293"/>
          </w:tcPr>
          <w:p>
            <w:pPr>
              <w:spacing w:after="40"/>
            </w:pPr>
            <w:r>
              <w:rPr>
                <w:sz w:val="16"/>
              </w:rPr>
              <w:t>18 days</w:t>
            </w:r>
          </w:p>
        </w:tc>
        <w:tc>
          <w:tcPr>
            <w:tcW w:type="dxa" w:w="3293"/>
          </w:tcPr>
          <w:p>
            <w:pPr>
              <w:spacing w:after="40"/>
            </w:pPr>
            <w:r>
              <w:rPr>
                <w:sz w:val="16"/>
              </w:rPr>
              <w:t>Accrued monthly; intended for planned time off. The source framework requests two weeks’ advance notice.</w:t>
            </w:r>
          </w:p>
        </w:tc>
      </w:tr>
      <w:tr>
        <w:tc>
          <w:tcPr>
            <w:tcW w:type="dxa" w:w="3293"/>
          </w:tcPr>
          <w:p>
            <w:pPr>
              <w:spacing w:after="40"/>
            </w:pPr>
            <w:r>
              <w:rPr>
                <w:sz w:val="16"/>
              </w:rPr>
              <w:t>Sick Leave (SL)</w:t>
            </w:r>
          </w:p>
        </w:tc>
        <w:tc>
          <w:tcPr>
            <w:tcW w:type="dxa" w:w="3293"/>
          </w:tcPr>
          <w:p>
            <w:pPr>
              <w:spacing w:after="40"/>
            </w:pPr>
            <w:r>
              <w:rPr>
                <w:sz w:val="16"/>
              </w:rPr>
              <w:t>10 days</w:t>
            </w:r>
          </w:p>
        </w:tc>
        <w:tc>
          <w:tcPr>
            <w:tcW w:type="dxa" w:w="3293"/>
          </w:tcPr>
          <w:p>
            <w:pPr>
              <w:spacing w:after="40"/>
            </w:pPr>
            <w:r>
              <w:rPr>
                <w:sz w:val="16"/>
              </w:rPr>
              <w:t>For illness or recovery. The source framework requires a medical certificate for continuous leave exceeding three days.</w:t>
            </w:r>
          </w:p>
        </w:tc>
      </w:tr>
    </w:tbl>
    <w:p/>
    <w:p>
      <w:pPr>
        <w:pStyle w:val="Heading2"/>
      </w:pPr>
      <w:r>
        <w:t>4.2 Requesting &amp; Approving Leave</w:t>
      </w:r>
    </w:p>
    <w:p>
      <w:r>
        <w:t>Where foreseeable, leave should be requested through the approved HR or attendance system and approved before arrangements are finalized. Managers should consider team coverage, workload, fairness, and applicable entitlements. Employees should communicate urgent or unplanned absences as soon as possible and provide required documentation through the appropriate confidential channel.</w:t>
      </w:r>
    </w:p>
    <w:p>
      <w:pPr>
        <w:pStyle w:val="Heading2"/>
      </w:pPr>
      <w:r>
        <w:t>4.3 Public Holidays, Extended Absence &amp; Return to Work</w:t>
      </w:r>
    </w:p>
    <w:p>
      <w:r>
        <w:t>The applicable holiday calendar and any rules for extended absence should be confirmed with HR. Employees returning after a prolonged absence may coordinate with HR and their manager regarding schedules, pending work, and any required administrative steps. Medical information should be handled confidentially and shared only with authorized personnel who need it.</w:t>
      </w:r>
    </w:p>
    <w:p>
      <w:pPr>
        <w:pStyle w:val="Heading1"/>
      </w:pPr>
      <w:r>
        <w:t>5. Compensation, Benefits &amp; Performance</w:t>
      </w:r>
    </w:p>
    <w:p>
      <w:pPr>
        <w:pStyle w:val="Heading2"/>
      </w:pPr>
      <w:r>
        <w:t>5.1 Payroll Cycle</w:t>
      </w:r>
    </w:p>
    <w:p>
      <w:r>
        <w:t>The source framework states that salaries are processed on the last working day of each calendar month. Employees should keep payroll and banking information current, review payslips when issued, and promptly raise discrepancies with HR or payroll. Actual payment timing may depend on bank processing, statutory deductions, and the employee’s contract.</w:t>
      </w:r>
    </w:p>
    <w:p>
      <w:pPr>
        <w:pStyle w:val="Heading2"/>
      </w:pPr>
      <w:r>
        <w:t>5.2 Benefits &amp; Reimbursements</w:t>
      </w:r>
    </w:p>
    <w:p>
      <w:r>
        <w:t>The source framework identifies health insurance, professional development stipends, and ergonomic allowances for eligible full-time personnel. Availability, coverage, limits, documentation, reimbursement timelines, and eligibility are determined by the relevant benefit plan and company procedures. Employees should obtain approval where required and retain valid supporting receipts for claims.</w:t>
      </w:r>
    </w:p>
    <w:p>
      <w:pPr>
        <w:pStyle w:val="Heading2"/>
      </w:pPr>
      <w:r>
        <w:t>5.3 Performance Appraisal Framework</w:t>
      </w:r>
    </w:p>
    <w:p>
      <w:r>
        <w:t>Formal annual reviews are conducted in Q4, supported by mid-year check-ins. Performance is assessed against role-related Key Performance Indicators (KPIs), Objectives and Key Results (OKRs), quality of delivery, collaboration, reliability, learning, and adherence to the organization’s values. The review process should clarify expectations, recognize contributions, identify development areas, and agree on practical goals.</w:t>
      </w:r>
    </w:p>
    <w:p>
      <w:pPr>
        <w:pStyle w:val="Heading2"/>
      </w:pPr>
      <w:r>
        <w:t>5.4 Feedback, Development &amp; Career Progression</w:t>
      </w:r>
    </w:p>
    <w:p>
      <w:r>
        <w:t>Employees are encouraged to seek regular feedback and maintain a record of goals, outcomes, and development activities. Managers should provide specific, constructive feedback and identify reasonable training or mentoring opportunities. Promotions and salary adjustments may consider sustained performance, scope of responsibility, role requirements, internal equity, business needs, and approved compensation processes; an appraisal does not automatically guarantee a promotion or increase.</w:t>
      </w:r>
    </w:p>
    <w:p>
      <w:pPr>
        <w:pStyle w:val="Heading2"/>
      </w:pPr>
      <w:r>
        <w:t>5.5 Expense &amp; Reimbursement Integrity</w:t>
      </w:r>
    </w:p>
    <w:p>
      <w:r>
        <w:t>Business expenses must be reasonable, work-related, supported by accurate documentation, and submitted within the applicable deadline. Personal expenses should not be claimed as business costs. Any uncertainty about eligibility or approval should be resolved before spending where practical.</w:t>
      </w:r>
    </w:p>
    <w:p>
      <w:pPr>
        <w:pStyle w:val="Heading1"/>
      </w:pPr>
      <w:r>
        <w:t>6. Workplace Safety &amp; Grievance Redressal</w:t>
      </w:r>
    </w:p>
    <w:p>
      <w:pPr>
        <w:pStyle w:val="Heading2"/>
      </w:pPr>
      <w:r>
        <w:t>6.1 Health, Safety &amp; Security</w:t>
      </w:r>
    </w:p>
    <w:p>
      <w:r>
        <w:t>Employees should follow applicable safety instructions, keep work areas reasonably safe, use equipment properly, and report hazards, accidents, security incidents, or unsafe conditions promptly. Emergency procedures and local contact information should be made available by the organization. Employees must not knowingly compromise the safety of colleagues, visitors, or themselves.</w:t>
      </w:r>
    </w:p>
    <w:p>
      <w:pPr>
        <w:pStyle w:val="Heading2"/>
      </w:pPr>
      <w:r>
        <w:t>6.2 Multi-Tiered Grievance Escalation Matrix</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16324F"/>
          </w:tcPr>
          <w:p>
            <w:r>
              <w:rPr>
                <w:b/>
                <w:color w:val="FFFFFF"/>
                <w:sz w:val="16"/>
              </w:rPr>
              <w:t>Level</w:t>
            </w:r>
          </w:p>
        </w:tc>
        <w:tc>
          <w:tcPr>
            <w:tcW w:type="dxa" w:w="3293"/>
            <w:shd w:fill="16324F"/>
          </w:tcPr>
          <w:p>
            <w:r>
              <w:rPr>
                <w:b/>
                <w:color w:val="FFFFFF"/>
                <w:sz w:val="16"/>
              </w:rPr>
              <w:t>Contact / Route</w:t>
            </w:r>
          </w:p>
        </w:tc>
        <w:tc>
          <w:tcPr>
            <w:tcW w:type="dxa" w:w="3293"/>
            <w:shd w:fill="16324F"/>
          </w:tcPr>
          <w:p>
            <w:r>
              <w:rPr>
                <w:b/>
                <w:color w:val="FFFFFF"/>
                <w:sz w:val="16"/>
              </w:rPr>
              <w:t>Expected Process</w:t>
            </w:r>
          </w:p>
        </w:tc>
      </w:tr>
      <w:tr>
        <w:tc>
          <w:tcPr>
            <w:tcW w:type="dxa" w:w="3293"/>
          </w:tcPr>
          <w:p>
            <w:pPr>
              <w:spacing w:after="40"/>
            </w:pPr>
            <w:r>
              <w:rPr>
                <w:sz w:val="16"/>
              </w:rPr>
              <w:t>Level 1</w:t>
            </w:r>
          </w:p>
        </w:tc>
        <w:tc>
          <w:tcPr>
            <w:tcW w:type="dxa" w:w="3293"/>
          </w:tcPr>
          <w:p>
            <w:pPr>
              <w:spacing w:after="40"/>
            </w:pPr>
            <w:r>
              <w:rPr>
                <w:sz w:val="16"/>
              </w:rPr>
              <w:t>Direct Supervisor</w:t>
            </w:r>
          </w:p>
        </w:tc>
        <w:tc>
          <w:tcPr>
            <w:tcW w:type="dxa" w:w="3293"/>
          </w:tcPr>
          <w:p>
            <w:pPr>
              <w:spacing w:after="40"/>
            </w:pPr>
            <w:r>
              <w:rPr>
                <w:sz w:val="16"/>
              </w:rPr>
              <w:t>Raise the concern informally or formally within five working days where practicable, according to the source framework.</w:t>
            </w:r>
          </w:p>
        </w:tc>
      </w:tr>
      <w:tr>
        <w:tc>
          <w:tcPr>
            <w:tcW w:type="dxa" w:w="3293"/>
          </w:tcPr>
          <w:p>
            <w:pPr>
              <w:spacing w:after="40"/>
            </w:pPr>
            <w:r>
              <w:rPr>
                <w:sz w:val="16"/>
              </w:rPr>
              <w:t>Level 2</w:t>
            </w:r>
          </w:p>
        </w:tc>
        <w:tc>
          <w:tcPr>
            <w:tcW w:type="dxa" w:w="3293"/>
          </w:tcPr>
          <w:p>
            <w:pPr>
              <w:spacing w:after="40"/>
            </w:pPr>
            <w:r>
              <w:rPr>
                <w:sz w:val="16"/>
              </w:rPr>
              <w:t>HR Business Partner (HRBP)</w:t>
            </w:r>
          </w:p>
        </w:tc>
        <w:tc>
          <w:tcPr>
            <w:tcW w:type="dxa" w:w="3293"/>
          </w:tcPr>
          <w:p>
            <w:pPr>
              <w:spacing w:after="40"/>
            </w:pPr>
            <w:r>
              <w:rPr>
                <w:sz w:val="16"/>
              </w:rPr>
              <w:t>Submit a written complaint. The source framework states that an investigation is initiated within 48 hours.</w:t>
            </w:r>
          </w:p>
        </w:tc>
      </w:tr>
      <w:tr>
        <w:tc>
          <w:tcPr>
            <w:tcW w:type="dxa" w:w="3293"/>
          </w:tcPr>
          <w:p>
            <w:pPr>
              <w:spacing w:after="40"/>
            </w:pPr>
            <w:r>
              <w:rPr>
                <w:sz w:val="16"/>
              </w:rPr>
              <w:t>Level 3</w:t>
            </w:r>
          </w:p>
        </w:tc>
        <w:tc>
          <w:tcPr>
            <w:tcW w:type="dxa" w:w="3293"/>
          </w:tcPr>
          <w:p>
            <w:pPr>
              <w:spacing w:after="40"/>
            </w:pPr>
            <w:r>
              <w:rPr>
                <w:sz w:val="16"/>
              </w:rPr>
              <w:t>Internal Complaints Committee (ICC)</w:t>
            </w:r>
          </w:p>
        </w:tc>
        <w:tc>
          <w:tcPr>
            <w:tcW w:type="dxa" w:w="3293"/>
          </w:tcPr>
          <w:p>
            <w:pPr>
              <w:spacing w:after="40"/>
            </w:pPr>
            <w:r>
              <w:rPr>
                <w:sz w:val="16"/>
              </w:rPr>
              <w:t>For severe ethical or harassment-related matters, use the designated formal committee or legally required process.</w:t>
            </w:r>
          </w:p>
        </w:tc>
      </w:tr>
    </w:tbl>
    <w:p/>
    <w:p>
      <w:r>
        <w:t>When reporting a concern, provide a factual summary, relevant dates, people involved, available supporting information, and the outcome or assistance sought. Employees should not conduct unauthorized investigations or share sensitive allegations broadly. The organization should assess reports impartially, limit information to those who need it, maintain appropriate records, and communicate next steps where possible.</w:t>
      </w:r>
    </w:p>
    <w:p>
      <w:r>
        <w:t>The timelines above reflect the source framework and should be validated against actual internal procedures and applicable legal requirements. Matters involving immediate danger, safety, harassment, or legally protected complaints should be directed promptly to the appropriate emergency, HR, or statutory channel without waiting for an informal escalation period.</w:t>
      </w:r>
    </w:p>
    <w:p>
      <w:pPr>
        <w:pStyle w:val="Heading1"/>
      </w:pPr>
      <w:r>
        <w:t>7. Information Management &amp; Business Continuity</w:t>
      </w:r>
    </w:p>
    <w:p>
      <w:pPr>
        <w:pStyle w:val="Heading2"/>
      </w:pPr>
      <w:r>
        <w:t>7.1 Records &amp; Documentation</w:t>
      </w:r>
    </w:p>
    <w:p>
      <w:r>
        <w:t>Business records should be accurate, complete, stored in approved locations, and retained according to the organization’s retention schedule. Employees should not destroy, alter, or remove records in breach of a retention requirement, investigation hold, or lawful instruction.</w:t>
      </w:r>
    </w:p>
    <w:p>
      <w:pPr>
        <w:pStyle w:val="Heading2"/>
      </w:pPr>
      <w:r>
        <w:t>7.2 Business Continuity &amp; Incident Reporting</w:t>
      </w:r>
    </w:p>
    <w:p>
      <w:r>
        <w:t>Employees should promptly report disruptions affecting systems, service delivery, data integrity, customer commitments, or workplace safety through the designated operational channel. Follow authorized continuity and recovery instructions, document material decisions, and avoid speculative external communications about incidents.</w:t>
      </w:r>
    </w:p>
    <w:p>
      <w:pPr>
        <w:pStyle w:val="Heading1"/>
      </w:pPr>
      <w:r>
        <w:t>8. Learning, Communication &amp; Employee Responsibilities</w:t>
      </w:r>
    </w:p>
    <w:p>
      <w:pPr>
        <w:pStyle w:val="Heading2"/>
      </w:pPr>
      <w:r>
        <w:t>8.1 Training &amp; Policy Awareness</w:t>
      </w:r>
    </w:p>
    <w:p>
      <w:r>
        <w:t>Employees are expected to complete required onboarding, security, compliance, safety, and role-specific training within communicated timelines. Managers should help team members understand relevant procedures and identify training needs. Questions about policy interpretation should be directed to HR or the appropriate subject-matter owner.</w:t>
      </w:r>
    </w:p>
    <w:p>
      <w:pPr>
        <w:pStyle w:val="Heading2"/>
      </w:pPr>
      <w:r>
        <w:t>8.2 Communication &amp; Collaboration</w:t>
      </w:r>
    </w:p>
    <w:p>
      <w:r>
        <w:t>Employees should communicate clearly, share work-related information with appropriate colleagues, attend required meetings, and raise delivery risks early. Feedback should be respectful and focused on work and outcomes. Confidential matters should be discussed only through appropriate channels.</w:t>
      </w:r>
    </w:p>
    <w:p>
      <w:pPr>
        <w:pStyle w:val="Heading2"/>
      </w:pPr>
      <w:r>
        <w:t>8.3 Employee Responsibilities Summary</w:t>
      </w:r>
    </w:p>
    <w:p>
      <w:pPr>
        <w:pStyle w:val="ListBullet"/>
      </w:pPr>
      <w:r>
        <w:t>Understand and follow current policies, role expectations, and applicable agreements.</w:t>
      </w:r>
    </w:p>
    <w:p>
      <w:pPr>
        <w:pStyle w:val="ListBullet"/>
      </w:pPr>
      <w:r>
        <w:t>Maintain accurate attendance, leave, expense, and work records.</w:t>
      </w:r>
    </w:p>
    <w:p>
      <w:pPr>
        <w:pStyle w:val="ListBullet"/>
      </w:pPr>
      <w:r>
        <w:t>Protect confidential information, credentials, equipment, and company property.</w:t>
      </w:r>
    </w:p>
    <w:p>
      <w:pPr>
        <w:pStyle w:val="ListBullet"/>
      </w:pPr>
      <w:r>
        <w:t>Disclose conflicts of interest and report suspected misconduct or safety risks.</w:t>
      </w:r>
    </w:p>
    <w:p>
      <w:pPr>
        <w:pStyle w:val="ListBullet"/>
      </w:pPr>
      <w:r>
        <w:t>Treat colleagues and external stakeholders fairly, respectfully, and professionally.</w:t>
      </w:r>
    </w:p>
    <w:p>
      <w:pPr>
        <w:pStyle w:val="Heading1"/>
      </w:pPr>
      <w:r>
        <w:t>9. Offboarding &amp; Separation</w:t>
      </w:r>
    </w:p>
    <w:p>
      <w:pPr>
        <w:pStyle w:val="Heading2"/>
      </w:pPr>
      <w:r>
        <w:t>9.1 Resignation &amp; Notice Period</w:t>
      </w:r>
    </w:p>
    <w:p>
      <w:r>
        <w:t>The source framework specifies a notice period of 30 to 60 days for full-time staff and 14 days for interns. The applicable period should be confirmed against the employee’s signed agreement and local law. Resignations should be submitted through the recognized process, with the manager and HR coordinating transition planning.</w:t>
      </w:r>
    </w:p>
    <w:p>
      <w:pPr>
        <w:pStyle w:val="Heading2"/>
      </w:pPr>
      <w:r>
        <w:t>9.2 Handover &amp; Return of Property</w:t>
      </w:r>
    </w:p>
    <w:p>
      <w:r>
        <w:t>Before separation, employees should document outstanding work, transfer relevant knowledge, identify pending deadlines, return devices, access cards, keys, documents, and other company assets, and cooperate with reasonable handover activities. Access rights should be removed or adjusted through the authorized IT process.</w:t>
      </w:r>
    </w:p>
    <w:p>
      <w:pPr>
        <w:pStyle w:val="Heading2"/>
      </w:pPr>
      <w:r>
        <w:t>9.3 Final Settlement &amp; Employment Records</w:t>
      </w:r>
    </w:p>
    <w:p>
      <w:r>
        <w:t>The source framework states that Full &amp; Final (F&amp;F) settlement is processed within 45 days after separation, following successful asset handover and knowledge transfer. Actual settlement components and timing must be checked against applicable law, payroll requirements, and the employee’s agreement. HR should communicate any required exit documentation and the process for employment-related records.</w:t>
      </w:r>
    </w:p>
    <w:p>
      <w:pPr>
        <w:pStyle w:val="Heading2"/>
      </w:pPr>
      <w:r>
        <w:t>9.4 Exit Feedback</w:t>
      </w:r>
    </w:p>
    <w:p>
      <w:r>
        <w:t>Where offered, employees may participate in an exit discussion to share constructive feedback about their role, team experience, and organizational processes. Information should be handled appropriately and used to identify potential improvements.</w:t>
      </w:r>
    </w:p>
    <w:p>
      <w:pPr>
        <w:pStyle w:val="Heading1"/>
      </w:pPr>
      <w:r>
        <w:t>10. Acknowledgment &amp; Receipt</w:t>
      </w:r>
    </w:p>
    <w:p>
      <w:r>
        <w:t>I acknowledge that I have received access to this Employee Handbook. I understand that I am responsible for reading the policies relevant to my role, asking questions where clarification is needed, and following current approved procedures. I understand that this handbook is a general policy guide and does not replace my employment agreement or applicable law.</w:t>
      </w:r>
    </w:p>
    <w:p>
      <w:r>
        <w:t>I understand that policies may be reviewed or amended in accordance with applicable law and contractual obligations, and that HR can direct me to the current approved version.</w:t>
      </w:r>
    </w:p>
    <w:p>
      <w:r>
        <w:t>Employee Name: ______________________________________________</w:t>
      </w:r>
      <w:r>
        <w:br/>
      </w:r>
      <w:r>
        <w:t>Employee ID: ____________________   Department: ____________________</w:t>
      </w:r>
      <w:r>
        <w:br/>
      </w:r>
      <w:r>
        <w:t>Job Title: _______________________________________________________</w:t>
      </w:r>
      <w:r>
        <w:br/>
      </w:r>
      <w:r>
        <w:t>Employee Signature: __________________________   Date: ______________</w:t>
      </w:r>
      <w:r>
        <w:br/>
      </w:r>
      <w:r>
        <w:t>HR / Authorized Representative: __________________   Date: ______________</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ENTERPRISE EMPLOYEE HANDBOOK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6324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5D8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