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2"/>
        </w:rPr>
        <w:t>UNSUPERVISED LEARNING</w:t>
        <w:br/>
        <w:t>AND CLUSTERING ANALYSIS</w:t>
      </w:r>
    </w:p>
    <w:p>
      <w:pPr>
        <w:jc w:val="center"/>
      </w:pPr>
      <w:r>
        <w:rPr>
          <w:b/>
          <w:sz w:val="34"/>
        </w:rPr>
        <w:t>Customer Segmentation: A Data-Driven Approach</w:t>
      </w:r>
    </w:p>
    <w:p/>
    <w:p>
      <w:pPr>
        <w:jc w:val="center"/>
      </w:pPr>
      <w:r>
        <w:rPr>
          <w:b/>
          <w:sz w:val="22"/>
        </w:rPr>
        <w:t>Prepared by</w:t>
      </w:r>
    </w:p>
    <w:p>
      <w:pPr>
        <w:jc w:val="center"/>
      </w:pPr>
      <w:r>
        <w:rPr>
          <w:b/>
          <w:sz w:val="32"/>
        </w:rPr>
        <w:t>Sahil Kumar</w:t>
      </w:r>
    </w:p>
    <w:p>
      <w:pPr>
        <w:jc w:val="center"/>
      </w:pPr>
      <w:r>
        <w:rPr>
          <w:i/>
          <w:sz w:val="22"/>
        </w:rPr>
        <w:t>Professional Internship Deliverable</w:t>
      </w:r>
    </w:p>
    <w:p>
      <w:r>
        <w:br w:type="page"/>
      </w:r>
    </w:p>
    <w:p>
      <w:pPr>
        <w:pStyle w:val="Heading1"/>
      </w:pPr>
      <w:r>
        <w:t>1. Executive Summary &amp; Objective</w:t>
      </w:r>
    </w:p>
    <w:p>
      <w:r>
        <w:t>This report presents an unsupervised machine learning approach for segmenting customer data into meaningful behavioral groups. The primary objective is to transform raw, multi-dimensional customer information into actionable business insights. By identifying distinct purchasing profiles, an organization can improve resource allocation, tailor marketing strategies, and make more informed decisions related to customer acquisition and lifetime value.</w:t>
      </w:r>
    </w:p>
    <w:p>
      <w:pPr>
        <w:pStyle w:val="Heading1"/>
      </w:pPr>
      <w:r>
        <w:t>2. Dataset Selection &amp; Advanced Preprocessing</w:t>
      </w:r>
    </w:p>
    <w:p>
      <w:r>
        <w:t>Dataset: The publicly available Mall Customer Segmentation Data, containing 200 customer records.</w:t>
      </w:r>
    </w:p>
    <w:p>
      <w:pPr>
        <w:pStyle w:val="Heading2"/>
      </w:pPr>
      <w:r>
        <w:t>Preprocessing Methodology &amp; Rationale</w:t>
      </w:r>
    </w:p>
    <w:p>
      <w:r>
        <w:t>In unsupervised learning, data quality directly affects the validity and interpretability of clustering results. Distance-based algorithms such as K-Means use Euclidean distance, making appropriate feature selection and scaling essential.</w:t>
      </w:r>
    </w:p>
    <w:p>
      <w:r>
        <w:t>Feature Selection &amp; Exclusion: The CustomerID feature was removed because it is a nominal identifier and does not represent customer behavior. The categorical Gender variable was also excluded. Standard K-Means is designed primarily for continuous numerical variables; directly encoding a binary categorical feature into Euclidean space can introduce artificial distances and affect cluster formation.</w:t>
      </w:r>
    </w:p>
    <w:p>
      <w:r>
        <w:t>Feature Scaling (Standardization): Scikit-learn's StandardScaler was used. Annual Income has a different scale from Spending Score, which ranges from 1 to 100. Without scaling, differences in feature magnitude can disproportionately influence Euclidean distance. StandardScaler applies Z-score standardization:</w:t>
      </w:r>
    </w:p>
    <w:p>
      <w:pPr>
        <w:jc w:val="center"/>
      </w:pPr>
      <w:r>
        <w:rPr>
          <w:b/>
          <w:sz w:val="24"/>
        </w:rPr>
        <w:t>z = (x − μ) / σ</w:t>
      </w:r>
    </w:p>
    <w:p>
      <w:pPr>
        <w:pStyle w:val="Heading1"/>
      </w:pPr>
      <w:r>
        <w:t>3. Algorithm Selection &amp; Rationale</w:t>
      </w:r>
    </w:p>
    <w:p>
      <w:r>
        <w:t>Two unsupervised learning methods were considered to strengthen the segmentation analysis:</w:t>
      </w:r>
    </w:p>
    <w:p>
      <w:r>
        <w:rPr>
          <w:b/>
        </w:rPr>
        <w:t>K-Means Clustering</w:t>
      </w:r>
      <w:r>
        <w:t>: Selected as the primary algorithm because it is computationally efficient and effective for identifying compact, approximately spherical clusters. It minimizes the within-cluster sum of squares (WCSS).</w:t>
      </w:r>
    </w:p>
    <w:p>
      <w:pPr>
        <w:jc w:val="center"/>
      </w:pPr>
      <w:r>
        <w:rPr>
          <w:b/>
        </w:rPr>
        <w:t>J = Σ(j=1→k) Σ(i=1→n) ||xᵢ − cⱼ||²</w:t>
      </w:r>
    </w:p>
    <w:p>
      <w:r>
        <w:rPr>
          <w:b/>
        </w:rPr>
        <w:t>Agglomerative Hierarchical Clustering</w:t>
      </w:r>
      <w:r>
        <w:t>: Used as a secondary validation approach. Unlike K-Means, it does not require the number of clusters to be fixed at the start and can visualize hierarchical relationships using a dendrogram.</w:t>
      </w:r>
    </w:p>
    <w:p>
      <w:pPr>
        <w:pStyle w:val="Heading1"/>
      </w:pPr>
      <w:r>
        <w:t>4. Parameter Optimization &amp; Evaluation Criteria</w:t>
      </w:r>
    </w:p>
    <w:p>
      <w:r>
        <w:t>Selecting an appropriate number of clusters (k) is critical to producing interpretable segmentation.</w:t>
      </w:r>
    </w:p>
    <w:p>
      <w:r>
        <w:rPr>
          <w:b/>
        </w:rPr>
        <w:t xml:space="preserve">Elbow Method: </w:t>
      </w:r>
      <w:r>
        <w:t>WCSS was evaluated across multiple values of k to identify the point at which additional clusters provide diminishing returns.</w:t>
      </w:r>
    </w:p>
    <w:p>
      <w:r>
        <w:rPr>
          <w:b/>
        </w:rPr>
        <w:t xml:space="preserve">Silhouette Analysis: </w:t>
      </w:r>
      <w:r>
        <w:t>The silhouette score measures cluster cohesion and separation. In the source analysis, k=5 achieved a score of 0.55, compared with 0.49 for k=4, supporting five clusters as the selected segmentation.</w:t>
      </w:r>
    </w:p>
    <w:p>
      <w:pPr>
        <w:pStyle w:val="Heading1"/>
      </w:pPr>
      <w:r>
        <w:t>5. Visualizations &amp; Algorithmic Validation</w:t>
      </w:r>
    </w:p>
    <w:p>
      <w:pPr>
        <w:jc w:val="center"/>
      </w:pPr>
      <w:r>
        <w:rPr>
          <w:i/>
        </w:rPr>
        <w:t>[Figure 1 — Agglomerative Hierarchical Clustering Dendrogram]</w:t>
      </w:r>
    </w:p>
    <w:p>
      <w:pPr>
        <w:jc w:val="center"/>
      </w:pPr>
      <w:r>
        <w:t>The dendrogram provides a visual representation of hierarchical relationships among customers and supports the selected five-cluster structure.</w:t>
      </w:r>
    </w:p>
    <w:p>
      <w:pPr>
        <w:jc w:val="center"/>
      </w:pPr>
      <w:r>
        <w:rPr>
          <w:i/>
        </w:rPr>
        <w:t>[Figure 2 — PCA-Based 2D Visualization of the Five Customer Segments]</w:t>
      </w:r>
    </w:p>
    <w:p>
      <w:pPr>
        <w:jc w:val="center"/>
      </w:pPr>
      <w:r>
        <w:t>Principal Component Analysis (PCA) can be used to project the standardized features into a two-dimensional space for visual inspection of the resulting customer segments.</w:t>
      </w:r>
    </w:p>
    <w:p>
      <w:pPr>
        <w:pStyle w:val="Heading1"/>
      </w:pPr>
      <w:r>
        <w:t>6. Quantitative Cluster Characteristics &amp; Strategic Applications</w:t>
      </w:r>
    </w:p>
    <w:p>
      <w:r>
        <w:t>The generated centroids identify five distinct customer segments. The table below summarizes the reported average characteristics and corresponding strategic applications.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2F3"/>
          </w:tcPr>
          <w:p>
            <w:r>
              <w:rPr>
                <w:b/>
                <w:sz w:val="17"/>
              </w:rPr>
              <w:t>Cluster</w:t>
            </w:r>
          </w:p>
        </w:tc>
        <w:tc>
          <w:tcPr>
            <w:tcW w:type="dxa" w:w="1987"/>
            <w:vAlign w:val="center"/>
            <w:shd w:fill="D9E2F3"/>
          </w:tcPr>
          <w:p>
            <w:r>
              <w:rPr>
                <w:b/>
                <w:sz w:val="17"/>
              </w:rPr>
              <w:t>Segment</w:t>
            </w:r>
          </w:p>
        </w:tc>
        <w:tc>
          <w:tcPr>
            <w:tcW w:type="dxa" w:w="1987"/>
            <w:vAlign w:val="center"/>
            <w:shd w:fill="D9E2F3"/>
          </w:tcPr>
          <w:p>
            <w:r>
              <w:rPr>
                <w:b/>
                <w:sz w:val="17"/>
              </w:rPr>
              <w:t>Mean Income</w:t>
            </w:r>
          </w:p>
        </w:tc>
        <w:tc>
          <w:tcPr>
            <w:tcW w:type="dxa" w:w="1987"/>
            <w:vAlign w:val="center"/>
            <w:shd w:fill="D9E2F3"/>
          </w:tcPr>
          <w:p>
            <w:r>
              <w:rPr>
                <w:b/>
                <w:sz w:val="17"/>
              </w:rPr>
              <w:t>Mean Spending Score</w:t>
            </w:r>
          </w:p>
        </w:tc>
        <w:tc>
          <w:tcPr>
            <w:tcW w:type="dxa" w:w="1987"/>
            <w:vAlign w:val="center"/>
            <w:shd w:fill="D9E2F3"/>
          </w:tcPr>
          <w:p>
            <w:r>
              <w:rPr>
                <w:b/>
                <w:sz w:val="17"/>
              </w:rPr>
              <w:t>Key Characteristic</w:t>
            </w:r>
          </w:p>
        </w:tc>
      </w:tr>
      <w:tr>
        <w:tc>
          <w:tcPr>
            <w:tcW w:type="dxa" w:w="1987"/>
            <w:vAlign w:val="center"/>
          </w:tcPr>
          <w:p>
            <w:r>
              <w:rPr>
                <w:sz w:val="17"/>
              </w:rPr>
              <w:t>0</w:t>
            </w:r>
          </w:p>
        </w:tc>
        <w:tc>
          <w:tcPr>
            <w:tcW w:type="dxa" w:w="1987"/>
            <w:vAlign w:val="center"/>
          </w:tcPr>
          <w:p>
            <w:r>
              <w:rPr>
                <w:sz w:val="17"/>
              </w:rPr>
              <w:t>The Frugal Wealthy</w:t>
            </w:r>
          </w:p>
        </w:tc>
        <w:tc>
          <w:tcPr>
            <w:tcW w:type="dxa" w:w="1987"/>
            <w:vAlign w:val="center"/>
          </w:tcPr>
          <w:p>
            <w:r>
              <w:rPr>
                <w:sz w:val="17"/>
              </w:rPr>
              <w:t>$88.2k</w:t>
            </w:r>
          </w:p>
        </w:tc>
        <w:tc>
          <w:tcPr>
            <w:tcW w:type="dxa" w:w="1987"/>
            <w:vAlign w:val="center"/>
          </w:tcPr>
          <w:p>
            <w:r>
              <w:rPr>
                <w:sz w:val="17"/>
              </w:rPr>
              <w:t>17.1</w:t>
            </w:r>
          </w:p>
        </w:tc>
        <w:tc>
          <w:tcPr>
            <w:tcW w:type="dxa" w:w="1987"/>
            <w:vAlign w:val="center"/>
          </w:tcPr>
          <w:p>
            <w:r>
              <w:rPr>
                <w:sz w:val="17"/>
              </w:rPr>
              <w:t>High income with low spending engagement</w:t>
            </w:r>
          </w:p>
        </w:tc>
      </w:tr>
      <w:tr>
        <w:tc>
          <w:tcPr>
            <w:tcW w:type="dxa" w:w="1987"/>
            <w:vAlign w:val="center"/>
          </w:tcPr>
          <w:p>
            <w:r>
              <w:rPr>
                <w:sz w:val="17"/>
              </w:rPr>
              <w:t>1</w:t>
            </w:r>
          </w:p>
        </w:tc>
        <w:tc>
          <w:tcPr>
            <w:tcW w:type="dxa" w:w="1987"/>
            <w:vAlign w:val="center"/>
          </w:tcPr>
          <w:p>
            <w:r>
              <w:rPr>
                <w:sz w:val="17"/>
              </w:rPr>
              <w:t>The Baseline</w:t>
            </w:r>
          </w:p>
        </w:tc>
        <w:tc>
          <w:tcPr>
            <w:tcW w:type="dxa" w:w="1987"/>
            <w:vAlign w:val="center"/>
          </w:tcPr>
          <w:p>
            <w:r>
              <w:rPr>
                <w:sz w:val="17"/>
              </w:rPr>
              <w:t>$55.3k</w:t>
            </w:r>
          </w:p>
        </w:tc>
        <w:tc>
          <w:tcPr>
            <w:tcW w:type="dxa" w:w="1987"/>
            <w:vAlign w:val="center"/>
          </w:tcPr>
          <w:p>
            <w:r>
              <w:rPr>
                <w:sz w:val="17"/>
              </w:rPr>
              <w:t>49.5</w:t>
            </w:r>
          </w:p>
        </w:tc>
        <w:tc>
          <w:tcPr>
            <w:tcW w:type="dxa" w:w="1987"/>
            <w:vAlign w:val="center"/>
          </w:tcPr>
          <w:p>
            <w:r>
              <w:rPr>
                <w:sz w:val="17"/>
              </w:rPr>
              <w:t>Mid-range income and spending; largest reported group</w:t>
            </w:r>
          </w:p>
        </w:tc>
      </w:tr>
      <w:tr>
        <w:tc>
          <w:tcPr>
            <w:tcW w:type="dxa" w:w="1987"/>
            <w:vAlign w:val="center"/>
          </w:tcPr>
          <w:p>
            <w:r>
              <w:rPr>
                <w:sz w:val="17"/>
              </w:rPr>
              <w:t>2</w:t>
            </w:r>
          </w:p>
        </w:tc>
        <w:tc>
          <w:tcPr>
            <w:tcW w:type="dxa" w:w="1987"/>
            <w:vAlign w:val="center"/>
          </w:tcPr>
          <w:p>
            <w:r>
              <w:rPr>
                <w:sz w:val="17"/>
              </w:rPr>
              <w:t>The VIPs</w:t>
            </w:r>
          </w:p>
        </w:tc>
        <w:tc>
          <w:tcPr>
            <w:tcW w:type="dxa" w:w="1987"/>
            <w:vAlign w:val="center"/>
          </w:tcPr>
          <w:p>
            <w:r>
              <w:rPr>
                <w:sz w:val="17"/>
              </w:rPr>
              <w:t>$86.5k</w:t>
            </w:r>
          </w:p>
        </w:tc>
        <w:tc>
          <w:tcPr>
            <w:tcW w:type="dxa" w:w="1987"/>
            <w:vAlign w:val="center"/>
          </w:tcPr>
          <w:p>
            <w:r>
              <w:rPr>
                <w:sz w:val="17"/>
              </w:rPr>
              <w:t>82.1</w:t>
            </w:r>
          </w:p>
        </w:tc>
        <w:tc>
          <w:tcPr>
            <w:tcW w:type="dxa" w:w="1987"/>
            <w:vAlign w:val="center"/>
          </w:tcPr>
          <w:p>
            <w:r>
              <w:rPr>
                <w:sz w:val="17"/>
              </w:rPr>
              <w:t>High income and high spending engagement</w:t>
            </w:r>
          </w:p>
        </w:tc>
      </w:tr>
      <w:tr>
        <w:tc>
          <w:tcPr>
            <w:tcW w:type="dxa" w:w="1987"/>
            <w:vAlign w:val="center"/>
          </w:tcPr>
          <w:p>
            <w:r>
              <w:rPr>
                <w:sz w:val="17"/>
              </w:rPr>
              <w:t>3</w:t>
            </w:r>
          </w:p>
        </w:tc>
        <w:tc>
          <w:tcPr>
            <w:tcW w:type="dxa" w:w="1987"/>
            <w:vAlign w:val="center"/>
          </w:tcPr>
          <w:p>
            <w:r>
              <w:rPr>
                <w:sz w:val="17"/>
              </w:rPr>
              <w:t>The Impulse Buyers</w:t>
            </w:r>
          </w:p>
        </w:tc>
        <w:tc>
          <w:tcPr>
            <w:tcW w:type="dxa" w:w="1987"/>
            <w:vAlign w:val="center"/>
          </w:tcPr>
          <w:p>
            <w:r>
              <w:rPr>
                <w:sz w:val="17"/>
              </w:rPr>
              <w:t>$25.7k</w:t>
            </w:r>
          </w:p>
        </w:tc>
        <w:tc>
          <w:tcPr>
            <w:tcW w:type="dxa" w:w="1987"/>
            <w:vAlign w:val="center"/>
          </w:tcPr>
          <w:p>
            <w:r>
              <w:rPr>
                <w:sz w:val="17"/>
              </w:rPr>
              <w:t>79.3</w:t>
            </w:r>
          </w:p>
        </w:tc>
        <w:tc>
          <w:tcPr>
            <w:tcW w:type="dxa" w:w="1987"/>
            <w:vAlign w:val="center"/>
          </w:tcPr>
          <w:p>
            <w:r>
              <w:rPr>
                <w:sz w:val="17"/>
              </w:rPr>
              <w:t>Lower income with high spending engagement</w:t>
            </w:r>
          </w:p>
        </w:tc>
      </w:tr>
      <w:tr>
        <w:tc>
          <w:tcPr>
            <w:tcW w:type="dxa" w:w="1987"/>
            <w:vAlign w:val="center"/>
          </w:tcPr>
          <w:p>
            <w:r>
              <w:rPr>
                <w:sz w:val="17"/>
              </w:rPr>
              <w:t>4</w:t>
            </w:r>
          </w:p>
        </w:tc>
        <w:tc>
          <w:tcPr>
            <w:tcW w:type="dxa" w:w="1987"/>
            <w:vAlign w:val="center"/>
          </w:tcPr>
          <w:p>
            <w:r>
              <w:rPr>
                <w:sz w:val="17"/>
              </w:rPr>
              <w:t>The Price-Sensitive</w:t>
            </w:r>
          </w:p>
        </w:tc>
        <w:tc>
          <w:tcPr>
            <w:tcW w:type="dxa" w:w="1987"/>
            <w:vAlign w:val="center"/>
          </w:tcPr>
          <w:p>
            <w:r>
              <w:rPr>
                <w:sz w:val="17"/>
              </w:rPr>
              <w:t>$26.3k</w:t>
            </w:r>
          </w:p>
        </w:tc>
        <w:tc>
          <w:tcPr>
            <w:tcW w:type="dxa" w:w="1987"/>
            <w:vAlign w:val="center"/>
          </w:tcPr>
          <w:p>
            <w:r>
              <w:rPr>
                <w:sz w:val="17"/>
              </w:rPr>
              <w:t>20.9</w:t>
            </w:r>
          </w:p>
        </w:tc>
        <w:tc>
          <w:tcPr>
            <w:tcW w:type="dxa" w:w="1987"/>
            <w:vAlign w:val="center"/>
          </w:tcPr>
          <w:p>
            <w:r>
              <w:rPr>
                <w:sz w:val="17"/>
              </w:rPr>
              <w:t>Low income and low spending engagement</w:t>
            </w:r>
          </w:p>
        </w:tc>
      </w:tr>
    </w:tbl>
    <w:p>
      <w:r>
        <w:rPr>
          <w:b/>
        </w:rPr>
        <w:t>Cluster 0 — The Frugal Wealthy</w:t>
      </w:r>
      <w:r>
        <w:rPr>
          <w:b/>
        </w:rPr>
        <w:br/>
        <w:t xml:space="preserve">Characteristics: </w:t>
      </w:r>
      <w:r>
        <w:t>Highest average income with the lowest spending engagement.</w:t>
      </w:r>
      <w:r>
        <w:rPr>
          <w:b/>
        </w:rPr>
        <w:br/>
        <w:t xml:space="preserve">Strategic Application: </w:t>
      </w:r>
      <w:r>
        <w:t>Use targeted retention and value-oriented messaging, emphasizing durability and long-term product value.</w:t>
      </w:r>
    </w:p>
    <w:p>
      <w:r>
        <w:rPr>
          <w:b/>
        </w:rPr>
        <w:t>Cluster 1 — The Baseline</w:t>
      </w:r>
      <w:r>
        <w:rPr>
          <w:b/>
        </w:rPr>
        <w:br/>
        <w:t xml:space="preserve">Characteristics: </w:t>
      </w:r>
      <w:r>
        <w:t>Represents the standard customer profile and the largest reported customer group (approximately 40%).</w:t>
      </w:r>
      <w:r>
        <w:rPr>
          <w:b/>
        </w:rPr>
        <w:br/>
        <w:t xml:space="preserve">Strategic Application: </w:t>
      </w:r>
      <w:r>
        <w:t>Use a tiered rewards program and engagement milestones while avoiding unnecessary deep discounting.</w:t>
      </w:r>
    </w:p>
    <w:p>
      <w:r>
        <w:rPr>
          <w:b/>
        </w:rPr>
        <w:t>Cluster 2 — The VIPs</w:t>
      </w:r>
      <w:r>
        <w:rPr>
          <w:b/>
        </w:rPr>
        <w:br/>
        <w:t xml:space="preserve">Characteristics: </w:t>
      </w:r>
      <w:r>
        <w:t>High-income customers with high spending engagement and strong revenue potential.</w:t>
      </w:r>
      <w:r>
        <w:rPr>
          <w:b/>
        </w:rPr>
        <w:br/>
        <w:t xml:space="preserve">Strategic Application: </w:t>
      </w:r>
      <w:r>
        <w:t>Prioritize retention through early access, dedicated support, and other premium customer experiences.</w:t>
      </w:r>
    </w:p>
    <w:p>
      <w:r>
        <w:rPr>
          <w:b/>
        </w:rPr>
        <w:t>Cluster 3 — The Impulse Buyers</w:t>
      </w:r>
      <w:r>
        <w:rPr>
          <w:b/>
        </w:rPr>
        <w:br/>
        <w:t xml:space="preserve">Characteristics: </w:t>
      </w:r>
      <w:r>
        <w:t>High spending engagement despite relatively low income.</w:t>
      </w:r>
      <w:r>
        <w:rPr>
          <w:b/>
        </w:rPr>
        <w:br/>
        <w:t xml:space="preserve">Strategic Application: </w:t>
      </w:r>
      <w:r>
        <w:t>Use carefully targeted, time-limited promotions while considering appropriate controls for financing-related risk.</w:t>
      </w:r>
    </w:p>
    <w:p>
      <w:r>
        <w:rPr>
          <w:b/>
        </w:rPr>
        <w:t>Cluster 4 — The Price-Sensitive</w:t>
      </w:r>
      <w:r>
        <w:rPr>
          <w:b/>
        </w:rPr>
        <w:br/>
        <w:t xml:space="preserve">Characteristics: </w:t>
      </w:r>
      <w:r>
        <w:t>Budget-conscious customers with low income and low spending engagement.</w:t>
      </w:r>
      <w:r>
        <w:rPr>
          <w:b/>
        </w:rPr>
        <w:br/>
        <w:t xml:space="preserve">Strategic Application: </w:t>
      </w:r>
      <w:r>
        <w:t>Prioritize cost-efficient organic channels and targeted clearance or value-oriented communications.</w:t>
      </w:r>
    </w:p>
    <w:p>
      <w:r>
        <w:br w:type="page"/>
      </w:r>
    </w:p>
    <w:p>
      <w:pPr>
        <w:pStyle w:val="Heading1"/>
      </w:pPr>
      <w:r>
        <w:t>7. Advanced Code Implementation</w:t>
      </w:r>
    </w:p>
    <w:p>
      <w:r>
        <w:t>The following Python pipeline demonstrates data ingestion, preprocessing, K-Means clustering, and silhouette-score evaluation using Scikit-learn.</w:t>
      </w:r>
    </w:p>
    <w:p>
      <w:pPr>
        <w:pStyle w:val="Code"/>
        <w:spacing w:after="0"/>
      </w:pPr>
      <w:r>
        <w:t>import pandas as pd</w:t>
      </w:r>
    </w:p>
    <w:p>
      <w:pPr>
        <w:pStyle w:val="Code"/>
        <w:spacing w:after="0"/>
      </w:pPr>
      <w:r>
        <w:t>from sklearn.cluster import KMeans</w:t>
      </w:r>
    </w:p>
    <w:p>
      <w:pPr>
        <w:pStyle w:val="Code"/>
        <w:spacing w:after="0"/>
      </w:pPr>
      <w:r>
        <w:t>from sklearn.preprocessing import StandardScaler</w:t>
      </w:r>
    </w:p>
    <w:p>
      <w:pPr>
        <w:pStyle w:val="Code"/>
        <w:spacing w:after="0"/>
      </w:pPr>
      <w:r>
        <w:t>from sklearn.metrics import silhouette_score</w:t>
      </w:r>
    </w:p>
    <w:p>
      <w:pPr>
        <w:pStyle w:val="Code"/>
        <w:spacing w:after="0"/>
      </w:pPr>
      <w:r/>
    </w:p>
    <w:p>
      <w:pPr>
        <w:pStyle w:val="Code"/>
        <w:spacing w:after="0"/>
      </w:pPr>
      <w:r>
        <w:t># 1. Data ingestion &amp; preprocessing</w:t>
      </w:r>
    </w:p>
    <w:p>
      <w:pPr>
        <w:pStyle w:val="Code"/>
        <w:spacing w:after="0"/>
      </w:pPr>
      <w:r>
        <w:t>df = pd.read_csv("Mall_Customers.csv")</w:t>
      </w:r>
    </w:p>
    <w:p>
      <w:pPr>
        <w:pStyle w:val="Code"/>
        <w:spacing w:after="0"/>
      </w:pPr>
      <w:r>
        <w:t>features = df[["Annual Income (k$)", "Spending Score (1-100)"]]</w:t>
      </w:r>
    </w:p>
    <w:p>
      <w:pPr>
        <w:pStyle w:val="Code"/>
        <w:spacing w:after="0"/>
      </w:pPr>
      <w:r/>
    </w:p>
    <w:p>
      <w:pPr>
        <w:pStyle w:val="Code"/>
        <w:spacing w:after="0"/>
      </w:pPr>
      <w:r>
        <w:t>scaler = StandardScaler()</w:t>
      </w:r>
    </w:p>
    <w:p>
      <w:pPr>
        <w:pStyle w:val="Code"/>
        <w:spacing w:after="0"/>
      </w:pPr>
      <w:r>
        <w:t>X_scaled = scaler.fit_transform(features)</w:t>
      </w:r>
    </w:p>
    <w:p>
      <w:pPr>
        <w:pStyle w:val="Code"/>
        <w:spacing w:after="0"/>
      </w:pPr>
      <w:r/>
    </w:p>
    <w:p>
      <w:pPr>
        <w:pStyle w:val="Code"/>
        <w:spacing w:after="0"/>
      </w:pPr>
      <w:r>
        <w:t># 2. K-Means application (k=5)</w:t>
      </w:r>
    </w:p>
    <w:p>
      <w:pPr>
        <w:pStyle w:val="Code"/>
        <w:spacing w:after="0"/>
      </w:pPr>
      <w:r>
        <w:t>optimal_k = 5</w:t>
      </w:r>
    </w:p>
    <w:p>
      <w:pPr>
        <w:pStyle w:val="Code"/>
        <w:spacing w:after="0"/>
      </w:pPr>
      <w:r>
        <w:t>kmeans = KMeans(</w:t>
      </w:r>
    </w:p>
    <w:p>
      <w:pPr>
        <w:pStyle w:val="Code"/>
        <w:spacing w:after="0"/>
      </w:pPr>
      <w:r>
        <w:t xml:space="preserve">    n_clusters=optimal_k,</w:t>
      </w:r>
    </w:p>
    <w:p>
      <w:pPr>
        <w:pStyle w:val="Code"/>
        <w:spacing w:after="0"/>
      </w:pPr>
      <w:r>
        <w:t xml:space="preserve">    init="k-means++",</w:t>
      </w:r>
    </w:p>
    <w:p>
      <w:pPr>
        <w:pStyle w:val="Code"/>
        <w:spacing w:after="0"/>
      </w:pPr>
      <w:r>
        <w:t xml:space="preserve">    random_state=42,</w:t>
      </w:r>
    </w:p>
    <w:p>
      <w:pPr>
        <w:pStyle w:val="Code"/>
        <w:spacing w:after="0"/>
      </w:pPr>
      <w:r>
        <w:t xml:space="preserve">    n_init=10</w:t>
      </w:r>
    </w:p>
    <w:p>
      <w:pPr>
        <w:pStyle w:val="Code"/>
        <w:spacing w:after="0"/>
      </w:pPr>
      <w:r>
        <w:t>)</w:t>
      </w:r>
    </w:p>
    <w:p>
      <w:pPr>
        <w:pStyle w:val="Code"/>
        <w:spacing w:after="0"/>
      </w:pPr>
      <w:r/>
    </w:p>
    <w:p>
      <w:pPr>
        <w:pStyle w:val="Code"/>
        <w:spacing w:after="0"/>
      </w:pPr>
      <w:r>
        <w:t>df["Cluster"] = kmeans.fit_predict(X_scaled)</w:t>
      </w:r>
    </w:p>
    <w:p>
      <w:pPr>
        <w:pStyle w:val="Code"/>
        <w:spacing w:after="0"/>
      </w:pPr>
      <w:r/>
    </w:p>
    <w:p>
      <w:pPr>
        <w:pStyle w:val="Code"/>
        <w:spacing w:after="0"/>
      </w:pPr>
      <w:r>
        <w:t># 3. Quantitative evaluation</w:t>
      </w:r>
    </w:p>
    <w:p>
      <w:pPr>
        <w:pStyle w:val="Code"/>
        <w:spacing w:after="0"/>
      </w:pPr>
      <w:r>
        <w:t>silhouette_avg = silhouette_score(X_scaled, df["Cluster"])</w:t>
      </w:r>
    </w:p>
    <w:p>
      <w:pPr>
        <w:pStyle w:val="Code"/>
        <w:spacing w:after="0"/>
      </w:pPr>
      <w:r>
        <w:t>print(f"Final K-Means Silhouette Score: {silhouette_avg:.3f}")</w:t>
      </w:r>
    </w:p>
    <w:p>
      <w:pPr>
        <w:pStyle w:val="Heading1"/>
      </w:pPr>
      <w:r>
        <w:t>8. Limitations &amp; Analytical Challenges</w:t>
      </w:r>
    </w:p>
    <w:p>
      <w:r>
        <w:rPr>
          <w:b/>
        </w:rPr>
        <w:t xml:space="preserve">Temporal Snapshot Limitation: </w:t>
      </w:r>
      <w:r>
        <w:t>The dataset represents a static snapshot of customer behavior and does not capture seasonality, such as holiday spending changes. A production implementation should be retrained periodically as new behavioral data becomes available.</w:t>
      </w:r>
    </w:p>
    <w:p>
      <w:r>
        <w:rPr>
          <w:b/>
        </w:rPr>
        <w:t xml:space="preserve">Feature Sparsity: </w:t>
      </w:r>
      <w:r>
        <w:t>The model primarily uses financial and engagement variables and lacks contextual features such as geographic location and acquisition channel. Future versions could consider mixed-data methods such as K-Prototypes.</w:t>
      </w:r>
    </w:p>
    <w:p>
      <w:r>
        <w:rPr>
          <w:b/>
        </w:rPr>
        <w:t xml:space="preserve">Algorithmic Sensitivity: </w:t>
      </w:r>
      <w:r>
        <w:t>K-Means can be sensitive to outliers. Standardization helps control scale differences, but extreme observations may still influence centroids. Density-based approaches such as DBSCAN could be evaluated in future work.</w:t>
      </w:r>
    </w:p>
    <w:p>
      <w:pPr>
        <w:pStyle w:val="Heading1"/>
      </w:pPr>
      <w:r>
        <w:t>9. Conclusion</w:t>
      </w:r>
    </w:p>
    <w:p>
      <w:r>
        <w:t>The clustering analysis segments the customer base into five distinct profiles using an unsupervised learning workflow. The combination of feature selection, standardization, K-Means clustering, and silhouette-based evaluation provides a structured foundation for customer segmentation. These segments can support more targeted marketing, better allocation of customer engagement resources, and improved decision-making around customer value. Future iterations should incorporate richer behavioral and contextual data and validate segment stability over time.</w:t>
      </w:r>
    </w:p>
    <w:p/>
    <w:p>
      <w:pPr>
        <w:jc w:val="center"/>
      </w:pPr>
      <w:r>
        <w:rPr>
          <w:i/>
        </w:rPr>
        <w:t>— End of Report —</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CUSTOMER SEGMENTATION | UNSUPERVISED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Segmentation: A Data-Driven Approach</dc:title>
  <dc:subject>Unsupervised Learning and Clustering Analysis</dc:subject>
  <dc:creator>Sahil Kumar</dc:creator>
  <cp:keywords>Customer Segmentation, K-Means, Clustering, Machine Learning, Data Analysis</cp:keywords>
  <dc:description>generated by python-docx</dc:description>
  <cp:lastModifiedBy/>
  <cp:revision>1</cp:revision>
  <dcterms:created xsi:type="dcterms:W3CDTF">2013-12-23T23:15:00Z</dcterms:created>
  <dcterms:modified xsi:type="dcterms:W3CDTF">2013-12-23T23:15:00Z</dcterms:modified>
  <cp:category/>
</cp:coreProperties>
</file>