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CloudPulse</w:t>
      </w:r>
    </w:p>
    <w:p>
      <w:pPr>
        <w:jc w:val="center"/>
      </w:pPr>
      <w:r>
        <w:rPr>
          <w:b/>
          <w:color w:val="464646"/>
          <w:sz w:val="34"/>
        </w:rPr>
        <w:t>Cloud Resource Anomaly Detection</w:t>
        <w:br/>
        <w:t>Model Evaluation Report</w:t>
      </w:r>
    </w:p>
    <w:p>
      <w:r>
        <w:br/>
      </w:r>
    </w:p>
    <w:p>
      <w:pPr>
        <w:jc w:val="center"/>
      </w:pPr>
      <w:r>
        <w:t>Comparative evaluation of machine-learning and time-series approaches</w:t>
      </w:r>
    </w:p>
    <w:p>
      <w:pPr>
        <w:jc w:val="center"/>
      </w:pPr>
      <w:r>
        <w:t>Dataset: 10,000 synthetic cloud-metric observations</w:t>
        <w:br/>
      </w:r>
      <w:r>
        <w:t>Evaluation focus: detection quality, false alarms, and robustness</w:t>
      </w:r>
    </w:p>
    <w:p>
      <w:r>
        <w:br w:type="page"/>
      </w:r>
    </w:p>
    <w:p>
      <w:pPr>
        <w:pStyle w:val="Heading1"/>
      </w:pPr>
      <w:r>
        <w:t>1. Executive Summary</w:t>
      </w:r>
    </w:p>
    <w:p>
      <w:r>
        <w:t>CloudPulse is a learning and experimentation project for detecting unusual patterns in cloud-resource metrics. It uses a synthetic dataset containing CPU utilization, memory utilization, network throughput, timestamps, and anomaly labels. This report compares an engineered-feature XGBoost model, a threshold-based hybrid, LSTM and GRU sequence models, an adaptive network detector, and an ARIMA-based detector.</w:t>
      </w:r>
    </w:p>
    <w:p>
      <w:r>
        <w:t>On the recorded common comparison, the CloudPulse V3 Hybrid achieved the highest F1-score (0.9614) and 93.33% recall with a low observed false-alarm rate of approximately 0.07%. The LSTM achieved 97.50% recall but produced more false alarms. Stress tests revealed that the hybrid's fixed network threshold can become unreliable when normal traffic patterns shift. The hybrid should therefore be treated as a promising experimental baseline, not as a production-ready detector.</w:t>
      </w:r>
    </w:p>
    <w:p>
      <w:pPr>
        <w:pStyle w:val="Heading1"/>
      </w:pPr>
      <w:r>
        <w:t>2. Project Objectives</w:t>
      </w:r>
    </w:p>
    <w:p>
      <w:pPr>
        <w:pStyle w:val="ListBullet"/>
      </w:pPr>
      <w:r>
        <w:t>Detect anomalous patterns in CPU, memory, and network metrics.</w:t>
      </w:r>
    </w:p>
    <w:p>
      <w:pPr>
        <w:pStyle w:val="ListBullet"/>
      </w:pPr>
      <w:r>
        <w:t>Compare supervised feature-based detection with sequence and time-series approaches.</w:t>
      </w:r>
    </w:p>
    <w:p>
      <w:pPr>
        <w:pStyle w:val="ListBullet"/>
      </w:pPr>
      <w:r>
        <w:t>Evaluate precision, recall, F1-score, and false-alarm rate.</w:t>
      </w:r>
    </w:p>
    <w:p>
      <w:pPr>
        <w:pStyle w:val="ListBullet"/>
      </w:pPr>
      <w:r>
        <w:t>Examine detection by anomaly type and under altered traffic conditions.</w:t>
      </w:r>
    </w:p>
    <w:p>
      <w:pPr>
        <w:pStyle w:val="ListBullet"/>
      </w:pPr>
      <w:r>
        <w:t>Document limitations before considering integration into a cloud-monitoring workflow.</w:t>
      </w:r>
    </w:p>
    <w:p>
      <w:pPr>
        <w:pStyle w:val="Heading1"/>
      </w:pPr>
      <w:r>
        <w:t>3. Dataset and Preparation</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6"/>
              </w:rPr>
              <w:t>Property</w:t>
            </w:r>
          </w:p>
        </w:tc>
        <w:tc>
          <w:tcPr>
            <w:tcW w:type="dxa" w:w="5040"/>
            <w:vAlign w:val="center"/>
            <w:shd w:fill="D9EAF7"/>
          </w:tcPr>
          <w:p>
            <w:r>
              <w:rPr>
                <w:rFonts w:ascii="Aptos" w:hAnsi="Aptos"/>
                <w:b/>
                <w:sz w:val="16"/>
              </w:rPr>
              <w:t>Description</w:t>
            </w:r>
          </w:p>
        </w:tc>
      </w:tr>
      <w:tr>
        <w:tc>
          <w:tcPr>
            <w:tcW w:type="dxa" w:w="5040"/>
            <w:vAlign w:val="center"/>
          </w:tcPr>
          <w:p>
            <w:r>
              <w:rPr>
                <w:rFonts w:ascii="Aptos" w:hAnsi="Aptos"/>
                <w:b w:val="0"/>
                <w:sz w:val="16"/>
              </w:rPr>
              <w:t>Dataset size</w:t>
            </w:r>
          </w:p>
        </w:tc>
        <w:tc>
          <w:tcPr>
            <w:tcW w:type="dxa" w:w="5040"/>
            <w:vAlign w:val="center"/>
          </w:tcPr>
          <w:p>
            <w:r>
              <w:rPr>
                <w:rFonts w:ascii="Aptos" w:hAnsi="Aptos"/>
                <w:b w:val="0"/>
                <w:sz w:val="16"/>
              </w:rPr>
              <w:t>10,000 synthetic observations</w:t>
            </w:r>
          </w:p>
        </w:tc>
      </w:tr>
      <w:tr>
        <w:tc>
          <w:tcPr>
            <w:tcW w:type="dxa" w:w="5040"/>
            <w:vAlign w:val="center"/>
          </w:tcPr>
          <w:p>
            <w:r>
              <w:rPr>
                <w:rFonts w:ascii="Aptos" w:hAnsi="Aptos"/>
                <w:b w:val="0"/>
                <w:sz w:val="16"/>
              </w:rPr>
              <w:t>Observation interval</w:t>
            </w:r>
          </w:p>
        </w:tc>
        <w:tc>
          <w:tcPr>
            <w:tcW w:type="dxa" w:w="5040"/>
            <w:vAlign w:val="center"/>
          </w:tcPr>
          <w:p>
            <w:r>
              <w:rPr>
                <w:rFonts w:ascii="Aptos" w:hAnsi="Aptos"/>
                <w:b w:val="0"/>
                <w:sz w:val="16"/>
              </w:rPr>
              <w:t>5 minutes</w:t>
            </w:r>
          </w:p>
        </w:tc>
      </w:tr>
      <w:tr>
        <w:tc>
          <w:tcPr>
            <w:tcW w:type="dxa" w:w="5040"/>
            <w:vAlign w:val="center"/>
          </w:tcPr>
          <w:p>
            <w:r>
              <w:rPr>
                <w:rFonts w:ascii="Aptos" w:hAnsi="Aptos"/>
                <w:b w:val="0"/>
                <w:sz w:val="16"/>
              </w:rPr>
              <w:t>Metrics</w:t>
            </w:r>
          </w:p>
        </w:tc>
        <w:tc>
          <w:tcPr>
            <w:tcW w:type="dxa" w:w="5040"/>
            <w:vAlign w:val="center"/>
          </w:tcPr>
          <w:p>
            <w:r>
              <w:rPr>
                <w:rFonts w:ascii="Aptos" w:hAnsi="Aptos"/>
                <w:b w:val="0"/>
                <w:sz w:val="16"/>
              </w:rPr>
              <w:t>CPU %, memory %, network Mbps</w:t>
            </w:r>
          </w:p>
        </w:tc>
      </w:tr>
      <w:tr>
        <w:tc>
          <w:tcPr>
            <w:tcW w:type="dxa" w:w="5040"/>
            <w:vAlign w:val="center"/>
          </w:tcPr>
          <w:p>
            <w:r>
              <w:rPr>
                <w:rFonts w:ascii="Aptos" w:hAnsi="Aptos"/>
                <w:b w:val="0"/>
                <w:sz w:val="16"/>
              </w:rPr>
              <w:t>Labels</w:t>
            </w:r>
          </w:p>
        </w:tc>
        <w:tc>
          <w:tcPr>
            <w:tcW w:type="dxa" w:w="5040"/>
            <w:vAlign w:val="center"/>
          </w:tcPr>
          <w:p>
            <w:r>
              <w:rPr>
                <w:rFonts w:ascii="Aptos" w:hAnsi="Aptos"/>
                <w:b w:val="0"/>
                <w:sz w:val="16"/>
              </w:rPr>
              <w:t>is_anomaly and anomaly_type</w:t>
            </w:r>
          </w:p>
        </w:tc>
      </w:tr>
      <w:tr>
        <w:tc>
          <w:tcPr>
            <w:tcW w:type="dxa" w:w="5040"/>
            <w:vAlign w:val="center"/>
          </w:tcPr>
          <w:p>
            <w:r>
              <w:rPr>
                <w:rFonts w:ascii="Aptos" w:hAnsi="Aptos"/>
                <w:b w:val="0"/>
                <w:sz w:val="16"/>
              </w:rPr>
              <w:t>Normal observations</w:t>
            </w:r>
          </w:p>
        </w:tc>
        <w:tc>
          <w:tcPr>
            <w:tcW w:type="dxa" w:w="5040"/>
            <w:vAlign w:val="center"/>
          </w:tcPr>
          <w:p>
            <w:r>
              <w:rPr>
                <w:rFonts w:ascii="Aptos" w:hAnsi="Aptos"/>
                <w:b w:val="0"/>
                <w:sz w:val="16"/>
              </w:rPr>
              <w:t>9,750</w:t>
            </w:r>
          </w:p>
        </w:tc>
      </w:tr>
      <w:tr>
        <w:tc>
          <w:tcPr>
            <w:tcW w:type="dxa" w:w="5040"/>
            <w:vAlign w:val="center"/>
          </w:tcPr>
          <w:p>
            <w:r>
              <w:rPr>
                <w:rFonts w:ascii="Aptos" w:hAnsi="Aptos"/>
                <w:b w:val="0"/>
                <w:sz w:val="16"/>
              </w:rPr>
              <w:t>Anomalous observations</w:t>
            </w:r>
          </w:p>
        </w:tc>
        <w:tc>
          <w:tcPr>
            <w:tcW w:type="dxa" w:w="5040"/>
            <w:vAlign w:val="center"/>
          </w:tcPr>
          <w:p>
            <w:r>
              <w:rPr>
                <w:rFonts w:ascii="Aptos" w:hAnsi="Aptos"/>
                <w:b w:val="0"/>
                <w:sz w:val="16"/>
              </w:rPr>
              <w:t>250</w:t>
            </w:r>
          </w:p>
        </w:tc>
      </w:tr>
      <w:tr>
        <w:tc>
          <w:tcPr>
            <w:tcW w:type="dxa" w:w="5040"/>
            <w:vAlign w:val="center"/>
          </w:tcPr>
          <w:p>
            <w:r>
              <w:rPr>
                <w:rFonts w:ascii="Aptos" w:hAnsi="Aptos"/>
                <w:b w:val="0"/>
                <w:sz w:val="16"/>
              </w:rPr>
              <w:t>Anomaly categories</w:t>
            </w:r>
          </w:p>
        </w:tc>
        <w:tc>
          <w:tcPr>
            <w:tcW w:type="dxa" w:w="5040"/>
            <w:vAlign w:val="center"/>
          </w:tcPr>
          <w:p>
            <w:r>
              <w:rPr>
                <w:rFonts w:ascii="Aptos" w:hAnsi="Aptos"/>
                <w:b w:val="0"/>
                <w:sz w:val="16"/>
              </w:rPr>
              <w:t>memory drift (100), combined (60), network drop (50), CPU spike (40)</w:t>
            </w:r>
          </w:p>
        </w:tc>
      </w:tr>
      <w:tr>
        <w:tc>
          <w:tcPr>
            <w:tcW w:type="dxa" w:w="5040"/>
            <w:vAlign w:val="center"/>
          </w:tcPr>
          <w:p>
            <w:r>
              <w:rPr>
                <w:rFonts w:ascii="Aptos" w:hAnsi="Aptos"/>
                <w:b w:val="0"/>
                <w:sz w:val="16"/>
              </w:rPr>
              <w:t>Data checks</w:t>
            </w:r>
          </w:p>
        </w:tc>
        <w:tc>
          <w:tcPr>
            <w:tcW w:type="dxa" w:w="5040"/>
            <w:vAlign w:val="center"/>
          </w:tcPr>
          <w:p>
            <w:r>
              <w:rPr>
                <w:rFonts w:ascii="Aptos" w:hAnsi="Aptos"/>
                <w:b w:val="0"/>
                <w:sz w:val="16"/>
              </w:rPr>
              <w:t>No missing values or duplicate timestamps reported; timestamps ordered</w:t>
            </w:r>
          </w:p>
        </w:tc>
      </w:tr>
    </w:tbl>
    <w:p/>
    <w:p>
      <w:r>
        <w:t>The dataset is synthetic and does not represent measurements collected from a live AWS account. Results demonstrate behavior on the generated data and should not be interpreted as real-world cloud performance.</w:t>
      </w:r>
    </w:p>
    <w:p>
      <w:pPr>
        <w:pStyle w:val="Heading1"/>
      </w:pPr>
      <w:r>
        <w:t>4. Models and Detection Strategies</w:t>
      </w:r>
    </w:p>
    <w:p>
      <w:pPr>
        <w:pStyle w:val="Heading2"/>
      </w:pPr>
      <w:r>
        <w:t>4.1 XGBoost V3</w:t>
      </w:r>
    </w:p>
    <w:p>
      <w:r>
        <w:t>The XGBoost model uses engineered metric features, lagged observations, rolling statistics, and network-relative features. The recorded configuration uses 300 estimators, maximum depth 4, learning rate 0.05, subsampling 0.8, column sampling 0.8, and a chronological train/validation/test split. The selected probability threshold was 0.38.</w:t>
      </w:r>
    </w:p>
    <w:p>
      <w:pPr>
        <w:pStyle w:val="Heading2"/>
      </w:pPr>
      <w:r>
        <w:t>4.2 CloudPulse V3 Hybrid</w:t>
      </w:r>
    </w:p>
    <w:p>
      <w:r>
        <w:t>The hybrid flags an observation when the XGBoost probability meets its threshold or network throughput falls below the fixed threshold of 22.3734 Mbps. This rule improved network-drop detection on the original synthetic test data, but stress testing showed that it can over-alert when normal network traffic becomes lower than expected.</w:t>
      </w:r>
    </w:p>
    <w:p>
      <w:pPr>
        <w:pStyle w:val="Heading2"/>
      </w:pPr>
      <w:r>
        <w:t>4.3 LSTM and GRU</w:t>
      </w:r>
    </w:p>
    <w:p>
      <w:r>
        <w:t>LSTM and GRU sequence models reconstruct or predict metric sequences and use prediction/reconstruction error as an anomaly signal. Their thresholds were selected using the 99th percentile of validation normal errors. These models detected most anomalies in the recorded test but generated more false alarms than the XGBoost model alone.</w:t>
      </w:r>
    </w:p>
    <w:p>
      <w:pPr>
        <w:pStyle w:val="Heading2"/>
      </w:pPr>
      <w:r>
        <w:t>4.4 Adaptive Network Detector V1</w:t>
      </w:r>
    </w:p>
    <w:p>
      <w:r>
        <w:t>This detector uses a rolling median and median absolute deviation (MAD) to estimate the recent network baseline and flag unusually large deviations. Its recorded test recall was very low, indicating that the chosen rolling window and threshold strategy did not detect the injected anomalies well.</w:t>
      </w:r>
    </w:p>
    <w:p>
      <w:pPr>
        <w:pStyle w:val="Heading2"/>
      </w:pPr>
      <w:r>
        <w:t>4.5 ARIMA Network Detector V1</w:t>
      </w:r>
    </w:p>
    <w:p>
      <w:r>
        <w:t>The ARIMA(2,1,2) experiment uses sequential one-step-ahead network forecasts and flags large absolute forecast errors. It detected some combined anomalies but missed most CPU and memory anomalies because it primarily models network throughput. Its overall recall was low.</w:t>
      </w:r>
    </w:p>
    <w:p>
      <w:pPr>
        <w:pStyle w:val="Heading1"/>
      </w:pPr>
      <w:r>
        <w:t>5. Comparative Test Results</w:t>
      </w:r>
    </w:p>
    <w:tbl>
      <w:tblPr>
        <w:tblStyle w:val="LightShading-Accent1"/>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Pr>
                <w:rFonts w:ascii="Aptos" w:hAnsi="Aptos"/>
                <w:b/>
                <w:sz w:val="16"/>
              </w:rPr>
              <w:t>Model</w:t>
            </w:r>
          </w:p>
        </w:tc>
        <w:tc>
          <w:tcPr>
            <w:tcW w:type="dxa" w:w="1680"/>
            <w:vAlign w:val="center"/>
            <w:shd w:fill="D9EAF7"/>
          </w:tcPr>
          <w:p>
            <w:r>
              <w:rPr>
                <w:rFonts w:ascii="Aptos" w:hAnsi="Aptos"/>
                <w:b/>
                <w:sz w:val="16"/>
              </w:rPr>
              <w:t>Rows</w:t>
            </w:r>
          </w:p>
        </w:tc>
        <w:tc>
          <w:tcPr>
            <w:tcW w:type="dxa" w:w="1680"/>
            <w:vAlign w:val="center"/>
            <w:shd w:fill="D9EAF7"/>
          </w:tcPr>
          <w:p>
            <w:r>
              <w:rPr>
                <w:rFonts w:ascii="Aptos" w:hAnsi="Aptos"/>
                <w:b/>
                <w:sz w:val="16"/>
              </w:rPr>
              <w:t>Precision</w:t>
            </w:r>
          </w:p>
        </w:tc>
        <w:tc>
          <w:tcPr>
            <w:tcW w:type="dxa" w:w="1680"/>
            <w:vAlign w:val="center"/>
            <w:shd w:fill="D9EAF7"/>
          </w:tcPr>
          <w:p>
            <w:r>
              <w:rPr>
                <w:rFonts w:ascii="Aptos" w:hAnsi="Aptos"/>
                <w:b/>
                <w:sz w:val="16"/>
              </w:rPr>
              <w:t>Recall</w:t>
            </w:r>
          </w:p>
        </w:tc>
        <w:tc>
          <w:tcPr>
            <w:tcW w:type="dxa" w:w="1680"/>
            <w:vAlign w:val="center"/>
            <w:shd w:fill="D9EAF7"/>
          </w:tcPr>
          <w:p>
            <w:r>
              <w:rPr>
                <w:rFonts w:ascii="Aptos" w:hAnsi="Aptos"/>
                <w:b/>
                <w:sz w:val="16"/>
              </w:rPr>
              <w:t>F1-score</w:t>
            </w:r>
          </w:p>
        </w:tc>
        <w:tc>
          <w:tcPr>
            <w:tcW w:type="dxa" w:w="1680"/>
            <w:vAlign w:val="center"/>
            <w:shd w:fill="D9EAF7"/>
          </w:tcPr>
          <w:p>
            <w:r>
              <w:rPr>
                <w:rFonts w:ascii="Aptos" w:hAnsi="Aptos"/>
                <w:b/>
                <w:sz w:val="16"/>
              </w:rPr>
              <w:t>False-alarm rate</w:t>
            </w:r>
          </w:p>
        </w:tc>
      </w:tr>
      <w:tr>
        <w:tc>
          <w:tcPr>
            <w:tcW w:type="dxa" w:w="1680"/>
            <w:vAlign w:val="center"/>
          </w:tcPr>
          <w:p>
            <w:r>
              <w:rPr>
                <w:rFonts w:ascii="Aptos" w:hAnsi="Aptos"/>
                <w:b w:val="0"/>
                <w:sz w:val="16"/>
              </w:rPr>
              <w:t>XGBoost V3 Model Only</w:t>
            </w:r>
          </w:p>
        </w:tc>
        <w:tc>
          <w:tcPr>
            <w:tcW w:type="dxa" w:w="1680"/>
            <w:vAlign w:val="center"/>
          </w:tcPr>
          <w:p>
            <w:r>
              <w:rPr>
                <w:rFonts w:ascii="Aptos" w:hAnsi="Aptos"/>
                <w:b w:val="0"/>
                <w:sz w:val="16"/>
              </w:rPr>
              <w:t>1,499</w:t>
            </w:r>
          </w:p>
        </w:tc>
        <w:tc>
          <w:tcPr>
            <w:tcW w:type="dxa" w:w="1680"/>
            <w:vAlign w:val="center"/>
          </w:tcPr>
          <w:p>
            <w:r>
              <w:rPr>
                <w:rFonts w:ascii="Aptos" w:hAnsi="Aptos"/>
                <w:b w:val="0"/>
                <w:sz w:val="16"/>
              </w:rPr>
              <w:t>98.82%</w:t>
            </w:r>
          </w:p>
        </w:tc>
        <w:tc>
          <w:tcPr>
            <w:tcW w:type="dxa" w:w="1680"/>
            <w:vAlign w:val="center"/>
          </w:tcPr>
          <w:p>
            <w:r>
              <w:rPr>
                <w:rFonts w:ascii="Aptos" w:hAnsi="Aptos"/>
                <w:b w:val="0"/>
                <w:sz w:val="16"/>
              </w:rPr>
              <w:t>70.00%</w:t>
            </w:r>
          </w:p>
        </w:tc>
        <w:tc>
          <w:tcPr>
            <w:tcW w:type="dxa" w:w="1680"/>
            <w:vAlign w:val="center"/>
          </w:tcPr>
          <w:p>
            <w:r>
              <w:rPr>
                <w:rFonts w:ascii="Aptos" w:hAnsi="Aptos"/>
                <w:b w:val="0"/>
                <w:sz w:val="16"/>
              </w:rPr>
              <w:t>81.95%</w:t>
            </w:r>
          </w:p>
        </w:tc>
        <w:tc>
          <w:tcPr>
            <w:tcW w:type="dxa" w:w="1680"/>
            <w:vAlign w:val="center"/>
          </w:tcPr>
          <w:p>
            <w:r>
              <w:rPr>
                <w:rFonts w:ascii="Aptos" w:hAnsi="Aptos"/>
                <w:b w:val="0"/>
                <w:sz w:val="16"/>
              </w:rPr>
              <w:t>0.07%</w:t>
            </w:r>
          </w:p>
        </w:tc>
      </w:tr>
      <w:tr>
        <w:tc>
          <w:tcPr>
            <w:tcW w:type="dxa" w:w="1680"/>
            <w:vAlign w:val="center"/>
          </w:tcPr>
          <w:p>
            <w:r>
              <w:rPr>
                <w:rFonts w:ascii="Aptos" w:hAnsi="Aptos"/>
                <w:b w:val="0"/>
                <w:sz w:val="16"/>
              </w:rPr>
              <w:t>CloudPulse V3 Hybrid</w:t>
            </w:r>
          </w:p>
        </w:tc>
        <w:tc>
          <w:tcPr>
            <w:tcW w:type="dxa" w:w="1680"/>
            <w:vAlign w:val="center"/>
          </w:tcPr>
          <w:p>
            <w:r>
              <w:rPr>
                <w:rFonts w:ascii="Aptos" w:hAnsi="Aptos"/>
                <w:b w:val="0"/>
                <w:sz w:val="16"/>
              </w:rPr>
              <w:t>1,499</w:t>
            </w:r>
          </w:p>
        </w:tc>
        <w:tc>
          <w:tcPr>
            <w:tcW w:type="dxa" w:w="1680"/>
            <w:vAlign w:val="center"/>
          </w:tcPr>
          <w:p>
            <w:r>
              <w:rPr>
                <w:rFonts w:ascii="Aptos" w:hAnsi="Aptos"/>
                <w:b w:val="0"/>
                <w:sz w:val="16"/>
              </w:rPr>
              <w:t>99.12%</w:t>
            </w:r>
          </w:p>
        </w:tc>
        <w:tc>
          <w:tcPr>
            <w:tcW w:type="dxa" w:w="1680"/>
            <w:vAlign w:val="center"/>
          </w:tcPr>
          <w:p>
            <w:r>
              <w:rPr>
                <w:rFonts w:ascii="Aptos" w:hAnsi="Aptos"/>
                <w:b w:val="0"/>
                <w:sz w:val="16"/>
              </w:rPr>
              <w:t>93.33%</w:t>
            </w:r>
          </w:p>
        </w:tc>
        <w:tc>
          <w:tcPr>
            <w:tcW w:type="dxa" w:w="1680"/>
            <w:vAlign w:val="center"/>
          </w:tcPr>
          <w:p>
            <w:r>
              <w:rPr>
                <w:rFonts w:ascii="Aptos" w:hAnsi="Aptos"/>
                <w:b w:val="0"/>
                <w:sz w:val="16"/>
              </w:rPr>
              <w:t>96.14%</w:t>
            </w:r>
          </w:p>
        </w:tc>
        <w:tc>
          <w:tcPr>
            <w:tcW w:type="dxa" w:w="1680"/>
            <w:vAlign w:val="center"/>
          </w:tcPr>
          <w:p>
            <w:r>
              <w:rPr>
                <w:rFonts w:ascii="Aptos" w:hAnsi="Aptos"/>
                <w:b w:val="0"/>
                <w:sz w:val="16"/>
              </w:rPr>
              <w:t>0.07%</w:t>
            </w:r>
          </w:p>
        </w:tc>
      </w:tr>
      <w:tr>
        <w:tc>
          <w:tcPr>
            <w:tcW w:type="dxa" w:w="1680"/>
            <w:vAlign w:val="center"/>
          </w:tcPr>
          <w:p>
            <w:r>
              <w:rPr>
                <w:rFonts w:ascii="Aptos" w:hAnsi="Aptos"/>
                <w:b w:val="0"/>
                <w:sz w:val="16"/>
              </w:rPr>
              <w:t>LSTM</w:t>
            </w:r>
          </w:p>
        </w:tc>
        <w:tc>
          <w:tcPr>
            <w:tcW w:type="dxa" w:w="1680"/>
            <w:vAlign w:val="center"/>
          </w:tcPr>
          <w:p>
            <w:r>
              <w:rPr>
                <w:rFonts w:ascii="Aptos" w:hAnsi="Aptos"/>
                <w:b w:val="0"/>
                <w:sz w:val="16"/>
              </w:rPr>
              <w:t>1,499</w:t>
            </w:r>
          </w:p>
        </w:tc>
        <w:tc>
          <w:tcPr>
            <w:tcW w:type="dxa" w:w="1680"/>
            <w:vAlign w:val="center"/>
          </w:tcPr>
          <w:p>
            <w:r>
              <w:rPr>
                <w:rFonts w:ascii="Aptos" w:hAnsi="Aptos"/>
                <w:b w:val="0"/>
                <w:sz w:val="16"/>
              </w:rPr>
              <w:t>89.31%</w:t>
            </w:r>
          </w:p>
        </w:tc>
        <w:tc>
          <w:tcPr>
            <w:tcW w:type="dxa" w:w="1680"/>
            <w:vAlign w:val="center"/>
          </w:tcPr>
          <w:p>
            <w:r>
              <w:rPr>
                <w:rFonts w:ascii="Aptos" w:hAnsi="Aptos"/>
                <w:b w:val="0"/>
                <w:sz w:val="16"/>
              </w:rPr>
              <w:t>97.50%</w:t>
            </w:r>
          </w:p>
        </w:tc>
        <w:tc>
          <w:tcPr>
            <w:tcW w:type="dxa" w:w="1680"/>
            <w:vAlign w:val="center"/>
          </w:tcPr>
          <w:p>
            <w:r>
              <w:rPr>
                <w:rFonts w:ascii="Aptos" w:hAnsi="Aptos"/>
                <w:b w:val="0"/>
                <w:sz w:val="16"/>
              </w:rPr>
              <w:t>93.23%</w:t>
            </w:r>
          </w:p>
        </w:tc>
        <w:tc>
          <w:tcPr>
            <w:tcW w:type="dxa" w:w="1680"/>
            <w:vAlign w:val="center"/>
          </w:tcPr>
          <w:p>
            <w:r>
              <w:rPr>
                <w:rFonts w:ascii="Aptos" w:hAnsi="Aptos"/>
                <w:b w:val="0"/>
                <w:sz w:val="16"/>
              </w:rPr>
              <w:t>1.02%</w:t>
            </w:r>
          </w:p>
        </w:tc>
      </w:tr>
      <w:tr>
        <w:tc>
          <w:tcPr>
            <w:tcW w:type="dxa" w:w="1680"/>
            <w:vAlign w:val="center"/>
          </w:tcPr>
          <w:p>
            <w:r>
              <w:rPr>
                <w:rFonts w:ascii="Aptos" w:hAnsi="Aptos"/>
                <w:b w:val="0"/>
                <w:sz w:val="16"/>
              </w:rPr>
              <w:t>GRU</w:t>
            </w:r>
          </w:p>
        </w:tc>
        <w:tc>
          <w:tcPr>
            <w:tcW w:type="dxa" w:w="1680"/>
            <w:vAlign w:val="center"/>
          </w:tcPr>
          <w:p>
            <w:r>
              <w:rPr>
                <w:rFonts w:ascii="Aptos" w:hAnsi="Aptos"/>
                <w:b w:val="0"/>
                <w:sz w:val="16"/>
              </w:rPr>
              <w:t>1,499</w:t>
            </w:r>
          </w:p>
        </w:tc>
        <w:tc>
          <w:tcPr>
            <w:tcW w:type="dxa" w:w="1680"/>
            <w:vAlign w:val="center"/>
          </w:tcPr>
          <w:p>
            <w:r>
              <w:rPr>
                <w:rFonts w:ascii="Aptos" w:hAnsi="Aptos"/>
                <w:b w:val="0"/>
                <w:sz w:val="16"/>
              </w:rPr>
              <w:t>87.12%</w:t>
            </w:r>
          </w:p>
        </w:tc>
        <w:tc>
          <w:tcPr>
            <w:tcW w:type="dxa" w:w="1680"/>
            <w:vAlign w:val="center"/>
          </w:tcPr>
          <w:p>
            <w:r>
              <w:rPr>
                <w:rFonts w:ascii="Aptos" w:hAnsi="Aptos"/>
                <w:b w:val="0"/>
                <w:sz w:val="16"/>
              </w:rPr>
              <w:t>95.83%</w:t>
            </w:r>
          </w:p>
        </w:tc>
        <w:tc>
          <w:tcPr>
            <w:tcW w:type="dxa" w:w="1680"/>
            <w:vAlign w:val="center"/>
          </w:tcPr>
          <w:p>
            <w:r>
              <w:rPr>
                <w:rFonts w:ascii="Aptos" w:hAnsi="Aptos"/>
                <w:b w:val="0"/>
                <w:sz w:val="16"/>
              </w:rPr>
              <w:t>91.27%</w:t>
            </w:r>
          </w:p>
        </w:tc>
        <w:tc>
          <w:tcPr>
            <w:tcW w:type="dxa" w:w="1680"/>
            <w:vAlign w:val="center"/>
          </w:tcPr>
          <w:p>
            <w:r>
              <w:rPr>
                <w:rFonts w:ascii="Aptos" w:hAnsi="Aptos"/>
                <w:b w:val="0"/>
                <w:sz w:val="16"/>
              </w:rPr>
              <w:t>1.23%</w:t>
            </w:r>
          </w:p>
        </w:tc>
      </w:tr>
      <w:tr>
        <w:tc>
          <w:tcPr>
            <w:tcW w:type="dxa" w:w="1680"/>
            <w:vAlign w:val="center"/>
          </w:tcPr>
          <w:p>
            <w:r>
              <w:rPr>
                <w:rFonts w:ascii="Aptos" w:hAnsi="Aptos"/>
                <w:b w:val="0"/>
                <w:sz w:val="16"/>
              </w:rPr>
              <w:t>Adaptive Network Detector V1</w:t>
            </w:r>
          </w:p>
        </w:tc>
        <w:tc>
          <w:tcPr>
            <w:tcW w:type="dxa" w:w="1680"/>
            <w:vAlign w:val="center"/>
          </w:tcPr>
          <w:p>
            <w:r>
              <w:rPr>
                <w:rFonts w:ascii="Aptos" w:hAnsi="Aptos"/>
                <w:b w:val="0"/>
                <w:sz w:val="16"/>
              </w:rPr>
              <w:t>1,499</w:t>
            </w:r>
          </w:p>
        </w:tc>
        <w:tc>
          <w:tcPr>
            <w:tcW w:type="dxa" w:w="1680"/>
            <w:vAlign w:val="center"/>
          </w:tcPr>
          <w:p>
            <w:r>
              <w:rPr>
                <w:rFonts w:ascii="Aptos" w:hAnsi="Aptos"/>
                <w:b w:val="0"/>
                <w:sz w:val="16"/>
              </w:rPr>
              <w:t>13.79%</w:t>
            </w:r>
          </w:p>
        </w:tc>
        <w:tc>
          <w:tcPr>
            <w:tcW w:type="dxa" w:w="1680"/>
            <w:vAlign w:val="center"/>
          </w:tcPr>
          <w:p>
            <w:r>
              <w:rPr>
                <w:rFonts w:ascii="Aptos" w:hAnsi="Aptos"/>
                <w:b w:val="0"/>
                <w:sz w:val="16"/>
              </w:rPr>
              <w:t>3.33%</w:t>
            </w:r>
          </w:p>
        </w:tc>
        <w:tc>
          <w:tcPr>
            <w:tcW w:type="dxa" w:w="1680"/>
            <w:vAlign w:val="center"/>
          </w:tcPr>
          <w:p>
            <w:r>
              <w:rPr>
                <w:rFonts w:ascii="Aptos" w:hAnsi="Aptos"/>
                <w:b w:val="0"/>
                <w:sz w:val="16"/>
              </w:rPr>
              <w:t>5.37%</w:t>
            </w:r>
          </w:p>
        </w:tc>
        <w:tc>
          <w:tcPr>
            <w:tcW w:type="dxa" w:w="1680"/>
            <w:vAlign w:val="center"/>
          </w:tcPr>
          <w:p>
            <w:r>
              <w:rPr>
                <w:rFonts w:ascii="Aptos" w:hAnsi="Aptos"/>
                <w:b w:val="0"/>
                <w:sz w:val="16"/>
              </w:rPr>
              <w:t>1.81%</w:t>
            </w:r>
          </w:p>
        </w:tc>
      </w:tr>
      <w:tr>
        <w:tc>
          <w:tcPr>
            <w:tcW w:type="dxa" w:w="1680"/>
            <w:vAlign w:val="center"/>
          </w:tcPr>
          <w:p>
            <w:r>
              <w:rPr>
                <w:rFonts w:ascii="Aptos" w:hAnsi="Aptos"/>
                <w:b w:val="0"/>
                <w:sz w:val="16"/>
              </w:rPr>
              <w:t>ARIMA Network Detector V1</w:t>
            </w:r>
          </w:p>
        </w:tc>
        <w:tc>
          <w:tcPr>
            <w:tcW w:type="dxa" w:w="1680"/>
            <w:vAlign w:val="center"/>
          </w:tcPr>
          <w:p>
            <w:r>
              <w:rPr>
                <w:rFonts w:ascii="Aptos" w:hAnsi="Aptos"/>
                <w:b w:val="0"/>
                <w:sz w:val="16"/>
              </w:rPr>
              <w:t>1,500</w:t>
            </w:r>
          </w:p>
        </w:tc>
        <w:tc>
          <w:tcPr>
            <w:tcW w:type="dxa" w:w="1680"/>
            <w:vAlign w:val="center"/>
          </w:tcPr>
          <w:p>
            <w:r>
              <w:rPr>
                <w:rFonts w:ascii="Aptos" w:hAnsi="Aptos"/>
                <w:b w:val="0"/>
                <w:sz w:val="16"/>
              </w:rPr>
              <w:t>58.06%</w:t>
            </w:r>
          </w:p>
        </w:tc>
        <w:tc>
          <w:tcPr>
            <w:tcW w:type="dxa" w:w="1680"/>
            <w:vAlign w:val="center"/>
          </w:tcPr>
          <w:p>
            <w:r>
              <w:rPr>
                <w:rFonts w:ascii="Aptos" w:hAnsi="Aptos"/>
                <w:b w:val="0"/>
                <w:sz w:val="16"/>
              </w:rPr>
              <w:t>15.00%</w:t>
            </w:r>
          </w:p>
        </w:tc>
        <w:tc>
          <w:tcPr>
            <w:tcW w:type="dxa" w:w="1680"/>
            <w:vAlign w:val="center"/>
          </w:tcPr>
          <w:p>
            <w:r>
              <w:rPr>
                <w:rFonts w:ascii="Aptos" w:hAnsi="Aptos"/>
                <w:b w:val="0"/>
                <w:sz w:val="16"/>
              </w:rPr>
              <w:t>23.84%</w:t>
            </w:r>
          </w:p>
        </w:tc>
        <w:tc>
          <w:tcPr>
            <w:tcW w:type="dxa" w:w="1680"/>
            <w:vAlign w:val="center"/>
          </w:tcPr>
          <w:p>
            <w:r>
              <w:rPr>
                <w:rFonts w:ascii="Aptos" w:hAnsi="Aptos"/>
                <w:b w:val="0"/>
                <w:sz w:val="16"/>
              </w:rPr>
              <w:t>0.94%</w:t>
            </w:r>
          </w:p>
        </w:tc>
      </w:tr>
    </w:tbl>
    <w:p/>
    <w:p>
      <w:r>
        <w:t>Metric definitions: precision is the proportion of predicted anomalies that were actual anomalies; recall is the proportion of actual anomalies detected; F1-score is the harmonic mean of precision and recall; false-alarm rate is false positives divided by actual normal observations.</w:t>
      </w:r>
    </w:p>
    <w:p>
      <w:r>
        <w:t>Comparison caveat: the ARIMA result uses 1,500 test rows, whereas the other rows in the unified comparison use 1,499. Also, thresholds and detection mechanisms differ across models, so this table is a practical record of current experiments rather than a fully controlled benchmark. Re-run every model on the exact same timestamp rows and threshold-selection protocol before making definitive model-ranking claims.</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model_performance_comparison.png"/>
                    <pic:cNvPicPr/>
                  </pic:nvPicPr>
                  <pic:blipFill>
                    <a:blip r:embed="rId9"/>
                    <a:stretch>
                      <a:fillRect/>
                    </a:stretch>
                  </pic:blipFill>
                  <pic:spPr>
                    <a:xfrm>
                      <a:off x="0" y="0"/>
                      <a:ext cx="5669280" cy="2834640"/>
                    </a:xfrm>
                    <a:prstGeom prst="rect"/>
                  </pic:spPr>
                </pic:pic>
              </a:graphicData>
            </a:graphic>
          </wp:inline>
        </w:drawing>
      </w:r>
    </w:p>
    <w:p>
      <w:pPr>
        <w:jc w:val="center"/>
      </w:pPr>
      <w:r>
        <w:rPr>
          <w:i/>
          <w:sz w:val="16"/>
        </w:rPr>
        <w:t>Figure 1. Model performance comparison generated by the project's visualization script.</w:t>
      </w:r>
    </w:p>
    <w:p>
      <w:pPr>
        <w:jc w:val="center"/>
      </w:pPr>
      <w:r>
        <w:drawing>
          <wp:inline xmlns:a="http://schemas.openxmlformats.org/drawingml/2006/main" xmlns:pic="http://schemas.openxmlformats.org/drawingml/2006/picture">
            <wp:extent cx="5669280" cy="4535424"/>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0"/>
                    <a:stretch>
                      <a:fillRect/>
                    </a:stretch>
                  </pic:blipFill>
                  <pic:spPr>
                    <a:xfrm>
                      <a:off x="0" y="0"/>
                      <a:ext cx="5669280" cy="4535424"/>
                    </a:xfrm>
                    <a:prstGeom prst="rect"/>
                  </pic:spPr>
                </pic:pic>
              </a:graphicData>
            </a:graphic>
          </wp:inline>
        </w:drawing>
      </w:r>
    </w:p>
    <w:p>
      <w:pPr>
        <w:jc w:val="center"/>
      </w:pPr>
      <w:r>
        <w:rPr>
          <w:i/>
          <w:sz w:val="16"/>
        </w:rPr>
        <w:t>Figure 2. Confusion matrices for the evaluated approaches.</w:t>
      </w:r>
    </w:p>
    <w:p>
      <w:pPr>
        <w:pStyle w:val="Heading1"/>
      </w:pPr>
      <w:r>
        <w:t>6. Hybrid Anomaly-Type Analysis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rFonts w:ascii="Aptos" w:hAnsi="Aptos"/>
                <w:b/>
                <w:sz w:val="16"/>
              </w:rPr>
              <w:t>Anomaly type</w:t>
            </w:r>
          </w:p>
        </w:tc>
        <w:tc>
          <w:tcPr>
            <w:tcW w:type="dxa" w:w="2520"/>
            <w:vAlign w:val="center"/>
            <w:shd w:fill="D9EAF7"/>
          </w:tcPr>
          <w:p>
            <w:r>
              <w:rPr>
                <w:rFonts w:ascii="Aptos" w:hAnsi="Aptos"/>
                <w:b/>
                <w:sz w:val="16"/>
              </w:rPr>
              <w:t>Detected</w:t>
            </w:r>
          </w:p>
        </w:tc>
        <w:tc>
          <w:tcPr>
            <w:tcW w:type="dxa" w:w="2520"/>
            <w:vAlign w:val="center"/>
            <w:shd w:fill="D9EAF7"/>
          </w:tcPr>
          <w:p>
            <w:r>
              <w:rPr>
                <w:rFonts w:ascii="Aptos" w:hAnsi="Aptos"/>
                <w:b/>
                <w:sz w:val="16"/>
              </w:rPr>
              <w:t>Total</w:t>
            </w:r>
          </w:p>
        </w:tc>
        <w:tc>
          <w:tcPr>
            <w:tcW w:type="dxa" w:w="2520"/>
            <w:vAlign w:val="center"/>
            <w:shd w:fill="D9EAF7"/>
          </w:tcPr>
          <w:p>
            <w:r>
              <w:rPr>
                <w:rFonts w:ascii="Aptos" w:hAnsi="Aptos"/>
                <w:b/>
                <w:sz w:val="16"/>
              </w:rPr>
              <w:t>Recall</w:t>
            </w:r>
          </w:p>
        </w:tc>
      </w:tr>
      <w:tr>
        <w:tc>
          <w:tcPr>
            <w:tcW w:type="dxa" w:w="2520"/>
            <w:vAlign w:val="center"/>
          </w:tcPr>
          <w:p>
            <w:r>
              <w:rPr>
                <w:rFonts w:ascii="Aptos" w:hAnsi="Aptos"/>
                <w:b w:val="0"/>
                <w:sz w:val="16"/>
              </w:rPr>
              <w:t>Combined</w:t>
            </w:r>
          </w:p>
        </w:tc>
        <w:tc>
          <w:tcPr>
            <w:tcW w:type="dxa" w:w="2520"/>
            <w:vAlign w:val="center"/>
          </w:tcPr>
          <w:p>
            <w:r>
              <w:rPr>
                <w:rFonts w:ascii="Aptos" w:hAnsi="Aptos"/>
                <w:b w:val="0"/>
                <w:sz w:val="16"/>
              </w:rPr>
              <w:t>18</w:t>
            </w:r>
          </w:p>
        </w:tc>
        <w:tc>
          <w:tcPr>
            <w:tcW w:type="dxa" w:w="2520"/>
            <w:vAlign w:val="center"/>
          </w:tcPr>
          <w:p>
            <w:r>
              <w:rPr>
                <w:rFonts w:ascii="Aptos" w:hAnsi="Aptos"/>
                <w:b w:val="0"/>
                <w:sz w:val="16"/>
              </w:rPr>
              <w:t>20</w:t>
            </w:r>
          </w:p>
        </w:tc>
        <w:tc>
          <w:tcPr>
            <w:tcW w:type="dxa" w:w="2520"/>
            <w:vAlign w:val="center"/>
          </w:tcPr>
          <w:p>
            <w:r>
              <w:rPr>
                <w:rFonts w:ascii="Aptos" w:hAnsi="Aptos"/>
                <w:b w:val="0"/>
                <w:sz w:val="16"/>
              </w:rPr>
              <w:t>90.0%</w:t>
            </w:r>
          </w:p>
        </w:tc>
      </w:tr>
      <w:tr>
        <w:tc>
          <w:tcPr>
            <w:tcW w:type="dxa" w:w="2520"/>
            <w:vAlign w:val="center"/>
          </w:tcPr>
          <w:p>
            <w:r>
              <w:rPr>
                <w:rFonts w:ascii="Aptos" w:hAnsi="Aptos"/>
                <w:b w:val="0"/>
                <w:sz w:val="16"/>
              </w:rPr>
              <w:t>CPU spike</w:t>
            </w:r>
          </w:p>
        </w:tc>
        <w:tc>
          <w:tcPr>
            <w:tcW w:type="dxa" w:w="2520"/>
            <w:vAlign w:val="center"/>
          </w:tcPr>
          <w:p>
            <w:r>
              <w:rPr>
                <w:rFonts w:ascii="Aptos" w:hAnsi="Aptos"/>
                <w:b w:val="0"/>
                <w:sz w:val="16"/>
              </w:rPr>
              <w:t>19</w:t>
            </w:r>
          </w:p>
        </w:tc>
        <w:tc>
          <w:tcPr>
            <w:tcW w:type="dxa" w:w="2520"/>
            <w:vAlign w:val="center"/>
          </w:tcPr>
          <w:p>
            <w:r>
              <w:rPr>
                <w:rFonts w:ascii="Aptos" w:hAnsi="Aptos"/>
                <w:b w:val="0"/>
                <w:sz w:val="16"/>
              </w:rPr>
              <w:t>20</w:t>
            </w:r>
          </w:p>
        </w:tc>
        <w:tc>
          <w:tcPr>
            <w:tcW w:type="dxa" w:w="2520"/>
            <w:vAlign w:val="center"/>
          </w:tcPr>
          <w:p>
            <w:r>
              <w:rPr>
                <w:rFonts w:ascii="Aptos" w:hAnsi="Aptos"/>
                <w:b w:val="0"/>
                <w:sz w:val="16"/>
              </w:rPr>
              <w:t>95.0%</w:t>
            </w:r>
          </w:p>
        </w:tc>
      </w:tr>
      <w:tr>
        <w:tc>
          <w:tcPr>
            <w:tcW w:type="dxa" w:w="2520"/>
            <w:vAlign w:val="center"/>
          </w:tcPr>
          <w:p>
            <w:r>
              <w:rPr>
                <w:rFonts w:ascii="Aptos" w:hAnsi="Aptos"/>
                <w:b w:val="0"/>
                <w:sz w:val="16"/>
              </w:rPr>
              <w:t>Memory drift</w:t>
            </w:r>
          </w:p>
        </w:tc>
        <w:tc>
          <w:tcPr>
            <w:tcW w:type="dxa" w:w="2520"/>
            <w:vAlign w:val="center"/>
          </w:tcPr>
          <w:p>
            <w:r>
              <w:rPr>
                <w:rFonts w:ascii="Aptos" w:hAnsi="Aptos"/>
                <w:b w:val="0"/>
                <w:sz w:val="16"/>
              </w:rPr>
              <w:t>45</w:t>
            </w:r>
          </w:p>
        </w:tc>
        <w:tc>
          <w:tcPr>
            <w:tcW w:type="dxa" w:w="2520"/>
            <w:vAlign w:val="center"/>
          </w:tcPr>
          <w:p>
            <w:r>
              <w:rPr>
                <w:rFonts w:ascii="Aptos" w:hAnsi="Aptos"/>
                <w:b w:val="0"/>
                <w:sz w:val="16"/>
              </w:rPr>
              <w:t>50</w:t>
            </w:r>
          </w:p>
        </w:tc>
        <w:tc>
          <w:tcPr>
            <w:tcW w:type="dxa" w:w="2520"/>
            <w:vAlign w:val="center"/>
          </w:tcPr>
          <w:p>
            <w:r>
              <w:rPr>
                <w:rFonts w:ascii="Aptos" w:hAnsi="Aptos"/>
                <w:b w:val="0"/>
                <w:sz w:val="16"/>
              </w:rPr>
              <w:t>90.0%</w:t>
            </w:r>
          </w:p>
        </w:tc>
      </w:tr>
      <w:tr>
        <w:tc>
          <w:tcPr>
            <w:tcW w:type="dxa" w:w="2520"/>
            <w:vAlign w:val="center"/>
          </w:tcPr>
          <w:p>
            <w:r>
              <w:rPr>
                <w:rFonts w:ascii="Aptos" w:hAnsi="Aptos"/>
                <w:b w:val="0"/>
                <w:sz w:val="16"/>
              </w:rPr>
              <w:t>Network drop</w:t>
            </w:r>
          </w:p>
        </w:tc>
        <w:tc>
          <w:tcPr>
            <w:tcW w:type="dxa" w:w="2520"/>
            <w:vAlign w:val="center"/>
          </w:tcPr>
          <w:p>
            <w:r>
              <w:rPr>
                <w:rFonts w:ascii="Aptos" w:hAnsi="Aptos"/>
                <w:b w:val="0"/>
                <w:sz w:val="16"/>
              </w:rPr>
              <w:t>30</w:t>
            </w:r>
          </w:p>
        </w:tc>
        <w:tc>
          <w:tcPr>
            <w:tcW w:type="dxa" w:w="2520"/>
            <w:vAlign w:val="center"/>
          </w:tcPr>
          <w:p>
            <w:r>
              <w:rPr>
                <w:rFonts w:ascii="Aptos" w:hAnsi="Aptos"/>
                <w:b w:val="0"/>
                <w:sz w:val="16"/>
              </w:rPr>
              <w:t>30</w:t>
            </w:r>
          </w:p>
        </w:tc>
        <w:tc>
          <w:tcPr>
            <w:tcW w:type="dxa" w:w="2520"/>
            <w:vAlign w:val="center"/>
          </w:tcPr>
          <w:p>
            <w:r>
              <w:rPr>
                <w:rFonts w:ascii="Aptos" w:hAnsi="Aptos"/>
                <w:b w:val="0"/>
                <w:sz w:val="16"/>
              </w:rPr>
              <w:t>100.0%</w:t>
            </w:r>
          </w:p>
        </w:tc>
      </w:tr>
    </w:tbl>
    <w:p/>
    <w:p>
      <w:r>
        <w:t>The hybrid's strongest result was on network drops in the original test data. This is consistent with its explicit network-throughput rule. That advantage must be interpreted alongside the stress-test findings.</w:t>
      </w:r>
    </w:p>
    <w:p>
      <w:pPr>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anomaly_type_comparison.png"/>
                    <pic:cNvPicPr/>
                  </pic:nvPicPr>
                  <pic:blipFill>
                    <a:blip r:embed="rId11"/>
                    <a:stretch>
                      <a:fillRect/>
                    </a:stretch>
                  </pic:blipFill>
                  <pic:spPr>
                    <a:xfrm>
                      <a:off x="0" y="0"/>
                      <a:ext cx="5669280" cy="3149600"/>
                    </a:xfrm>
                    <a:prstGeom prst="rect"/>
                  </pic:spPr>
                </pic:pic>
              </a:graphicData>
            </a:graphic>
          </wp:inline>
        </w:drawing>
      </w:r>
    </w:p>
    <w:p>
      <w:pPr>
        <w:jc w:val="center"/>
      </w:pPr>
      <w:r>
        <w:rPr>
          <w:i/>
          <w:sz w:val="16"/>
        </w:rPr>
        <w:t>Figure 3. Detection performance by anomaly type.</w:t>
      </w:r>
    </w:p>
    <w:p>
      <w:pPr>
        <w:pStyle w:val="Heading1"/>
      </w:pPr>
      <w:r>
        <w:t>7. Robustness and Stress Testing</w:t>
      </w:r>
    </w:p>
    <w:p>
      <w:r>
        <w:t>Additional experiments changed normal traffic levels or introduced overlapping and milder network-drop patterns. These tests revealed that the fixed network threshold is sensitive to traffic distribution.</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Pr>
                <w:rFonts w:ascii="Aptos" w:hAnsi="Aptos"/>
                <w:b/>
                <w:sz w:val="16"/>
              </w:rPr>
              <w:t>Scenario</w:t>
            </w:r>
          </w:p>
        </w:tc>
        <w:tc>
          <w:tcPr>
            <w:tcW w:type="dxa" w:w="1440"/>
            <w:vAlign w:val="center"/>
            <w:shd w:fill="D9EAF7"/>
          </w:tcPr>
          <w:p>
            <w:r>
              <w:rPr>
                <w:rFonts w:ascii="Aptos" w:hAnsi="Aptos"/>
                <w:b/>
                <w:sz w:val="16"/>
              </w:rPr>
              <w:t>Detector</w:t>
            </w:r>
          </w:p>
        </w:tc>
        <w:tc>
          <w:tcPr>
            <w:tcW w:type="dxa" w:w="1440"/>
            <w:vAlign w:val="center"/>
            <w:shd w:fill="D9EAF7"/>
          </w:tcPr>
          <w:p>
            <w:r>
              <w:rPr>
                <w:rFonts w:ascii="Aptos" w:hAnsi="Aptos"/>
                <w:b/>
                <w:sz w:val="16"/>
              </w:rPr>
              <w:t>False positives</w:t>
            </w:r>
          </w:p>
        </w:tc>
        <w:tc>
          <w:tcPr>
            <w:tcW w:type="dxa" w:w="1440"/>
            <w:vAlign w:val="center"/>
            <w:shd w:fill="D9EAF7"/>
          </w:tcPr>
          <w:p>
            <w:r>
              <w:rPr>
                <w:rFonts w:ascii="Aptos" w:hAnsi="Aptos"/>
                <w:b/>
                <w:sz w:val="16"/>
              </w:rPr>
              <w:t>False negatives</w:t>
            </w:r>
          </w:p>
        </w:tc>
        <w:tc>
          <w:tcPr>
            <w:tcW w:type="dxa" w:w="1440"/>
            <w:vAlign w:val="center"/>
            <w:shd w:fill="D9EAF7"/>
          </w:tcPr>
          <w:p>
            <w:r>
              <w:rPr>
                <w:rFonts w:ascii="Aptos" w:hAnsi="Aptos"/>
                <w:b/>
                <w:sz w:val="16"/>
              </w:rPr>
              <w:t>Recall</w:t>
            </w:r>
          </w:p>
        </w:tc>
        <w:tc>
          <w:tcPr>
            <w:tcW w:type="dxa" w:w="1440"/>
            <w:vAlign w:val="center"/>
            <w:shd w:fill="D9EAF7"/>
          </w:tcPr>
          <w:p>
            <w:r>
              <w:rPr>
                <w:rFonts w:ascii="Aptos" w:hAnsi="Aptos"/>
                <w:b/>
                <w:sz w:val="16"/>
              </w:rPr>
              <w:t>F1-score</w:t>
            </w:r>
          </w:p>
        </w:tc>
        <w:tc>
          <w:tcPr>
            <w:tcW w:type="dxa" w:w="1440"/>
            <w:vAlign w:val="center"/>
            <w:shd w:fill="D9EAF7"/>
          </w:tcPr>
          <w:p>
            <w:r>
              <w:rPr>
                <w:rFonts w:ascii="Aptos" w:hAnsi="Aptos"/>
                <w:b/>
                <w:sz w:val="16"/>
              </w:rPr>
              <w:t>FAR</w:t>
            </w:r>
          </w:p>
        </w:tc>
      </w:tr>
      <w:tr>
        <w:tc>
          <w:tcPr>
            <w:tcW w:type="dxa" w:w="1440"/>
            <w:vAlign w:val="center"/>
          </w:tcPr>
          <w:p>
            <w:r>
              <w:rPr>
                <w:rFonts w:ascii="Aptos" w:hAnsi="Aptos"/>
                <w:b w:val="0"/>
                <w:sz w:val="16"/>
              </w:rPr>
              <w:t>Low normal traffic</w:t>
            </w:r>
          </w:p>
        </w:tc>
        <w:tc>
          <w:tcPr>
            <w:tcW w:type="dxa" w:w="1440"/>
            <w:vAlign w:val="center"/>
          </w:tcPr>
          <w:p>
            <w:r>
              <w:rPr>
                <w:rFonts w:ascii="Aptos" w:hAnsi="Aptos"/>
                <w:b w:val="0"/>
                <w:sz w:val="16"/>
              </w:rPr>
              <w:t>XGBoost</w:t>
            </w:r>
          </w:p>
        </w:tc>
        <w:tc>
          <w:tcPr>
            <w:tcW w:type="dxa" w:w="1440"/>
            <w:vAlign w:val="center"/>
          </w:tcPr>
          <w:p>
            <w:r>
              <w:rPr>
                <w:rFonts w:ascii="Aptos" w:hAnsi="Aptos"/>
                <w:b w:val="0"/>
                <w:sz w:val="16"/>
              </w:rPr>
              <w:t>48</w:t>
            </w:r>
          </w:p>
        </w:tc>
        <w:tc>
          <w:tcPr>
            <w:tcW w:type="dxa" w:w="1440"/>
            <w:vAlign w:val="center"/>
          </w:tcPr>
          <w:p>
            <w:r>
              <w:rPr>
                <w:rFonts w:ascii="Aptos" w:hAnsi="Aptos"/>
                <w:b w:val="0"/>
                <w:sz w:val="16"/>
              </w:rPr>
              <w:t>33</w:t>
            </w:r>
          </w:p>
        </w:tc>
        <w:tc>
          <w:tcPr>
            <w:tcW w:type="dxa" w:w="1440"/>
            <w:vAlign w:val="center"/>
          </w:tcPr>
          <w:p>
            <w:r>
              <w:rPr>
                <w:rFonts w:ascii="Aptos" w:hAnsi="Aptos"/>
                <w:b w:val="0"/>
                <w:sz w:val="16"/>
              </w:rPr>
              <w:t>72.50%</w:t>
            </w:r>
          </w:p>
        </w:tc>
        <w:tc>
          <w:tcPr>
            <w:tcW w:type="dxa" w:w="1440"/>
            <w:vAlign w:val="center"/>
          </w:tcPr>
          <w:p>
            <w:r>
              <w:rPr>
                <w:rFonts w:ascii="Aptos" w:hAnsi="Aptos"/>
                <w:b w:val="0"/>
                <w:sz w:val="16"/>
              </w:rPr>
              <w:t>68.24%</w:t>
            </w:r>
          </w:p>
        </w:tc>
        <w:tc>
          <w:tcPr>
            <w:tcW w:type="dxa" w:w="1440"/>
            <w:vAlign w:val="center"/>
          </w:tcPr>
          <w:p>
            <w:r>
              <w:rPr>
                <w:rFonts w:ascii="Aptos" w:hAnsi="Aptos"/>
                <w:b w:val="0"/>
                <w:sz w:val="16"/>
              </w:rPr>
              <w:t>3.48%</w:t>
            </w:r>
          </w:p>
        </w:tc>
      </w:tr>
      <w:tr>
        <w:tc>
          <w:tcPr>
            <w:tcW w:type="dxa" w:w="1440"/>
            <w:vAlign w:val="center"/>
          </w:tcPr>
          <w:p>
            <w:r>
              <w:rPr>
                <w:rFonts w:ascii="Aptos" w:hAnsi="Aptos"/>
                <w:b w:val="0"/>
                <w:sz w:val="16"/>
              </w:rPr>
              <w:t>Low normal traffic</w:t>
            </w:r>
          </w:p>
        </w:tc>
        <w:tc>
          <w:tcPr>
            <w:tcW w:type="dxa" w:w="1440"/>
            <w:vAlign w:val="center"/>
          </w:tcPr>
          <w:p>
            <w:r>
              <w:rPr>
                <w:rFonts w:ascii="Aptos" w:hAnsi="Aptos"/>
                <w:b w:val="0"/>
                <w:sz w:val="16"/>
              </w:rPr>
              <w:t>Fixed-threshold hybrid</w:t>
            </w:r>
          </w:p>
        </w:tc>
        <w:tc>
          <w:tcPr>
            <w:tcW w:type="dxa" w:w="1440"/>
            <w:vAlign w:val="center"/>
          </w:tcPr>
          <w:p>
            <w:r>
              <w:rPr>
                <w:rFonts w:ascii="Aptos" w:hAnsi="Aptos"/>
                <w:b w:val="0"/>
                <w:sz w:val="16"/>
              </w:rPr>
              <w:t>276</w:t>
            </w:r>
          </w:p>
        </w:tc>
        <w:tc>
          <w:tcPr>
            <w:tcW w:type="dxa" w:w="1440"/>
            <w:vAlign w:val="center"/>
          </w:tcPr>
          <w:p>
            <w:r>
              <w:rPr>
                <w:rFonts w:ascii="Aptos" w:hAnsi="Aptos"/>
                <w:b w:val="0"/>
                <w:sz w:val="16"/>
              </w:rPr>
              <w:t>5</w:t>
            </w:r>
          </w:p>
        </w:tc>
        <w:tc>
          <w:tcPr>
            <w:tcW w:type="dxa" w:w="1440"/>
            <w:vAlign w:val="center"/>
          </w:tcPr>
          <w:p>
            <w:r>
              <w:rPr>
                <w:rFonts w:ascii="Aptos" w:hAnsi="Aptos"/>
                <w:b w:val="0"/>
                <w:sz w:val="16"/>
              </w:rPr>
              <w:t>95.83%</w:t>
            </w:r>
          </w:p>
        </w:tc>
        <w:tc>
          <w:tcPr>
            <w:tcW w:type="dxa" w:w="1440"/>
            <w:vAlign w:val="center"/>
          </w:tcPr>
          <w:p>
            <w:r>
              <w:rPr>
                <w:rFonts w:ascii="Aptos" w:hAnsi="Aptos"/>
                <w:b w:val="0"/>
                <w:sz w:val="16"/>
              </w:rPr>
              <w:t>45.01%</w:t>
            </w:r>
          </w:p>
        </w:tc>
        <w:tc>
          <w:tcPr>
            <w:tcW w:type="dxa" w:w="1440"/>
            <w:vAlign w:val="center"/>
          </w:tcPr>
          <w:p>
            <w:r>
              <w:rPr>
                <w:rFonts w:ascii="Aptos" w:hAnsi="Aptos"/>
                <w:b w:val="0"/>
                <w:sz w:val="16"/>
              </w:rPr>
              <w:t>20.01%</w:t>
            </w:r>
          </w:p>
        </w:tc>
      </w:tr>
      <w:tr>
        <w:tc>
          <w:tcPr>
            <w:tcW w:type="dxa" w:w="1440"/>
            <w:vAlign w:val="center"/>
          </w:tcPr>
          <w:p>
            <w:r>
              <w:rPr>
                <w:rFonts w:ascii="Aptos" w:hAnsi="Aptos"/>
                <w:b w:val="0"/>
                <w:sz w:val="16"/>
              </w:rPr>
              <w:t>Overlapping traffic</w:t>
            </w:r>
          </w:p>
        </w:tc>
        <w:tc>
          <w:tcPr>
            <w:tcW w:type="dxa" w:w="1440"/>
            <w:vAlign w:val="center"/>
          </w:tcPr>
          <w:p>
            <w:r>
              <w:rPr>
                <w:rFonts w:ascii="Aptos" w:hAnsi="Aptos"/>
                <w:b w:val="0"/>
                <w:sz w:val="16"/>
              </w:rPr>
              <w:t>XGBoost</w:t>
            </w:r>
          </w:p>
        </w:tc>
        <w:tc>
          <w:tcPr>
            <w:tcW w:type="dxa" w:w="1440"/>
            <w:vAlign w:val="center"/>
          </w:tcPr>
          <w:p>
            <w:r>
              <w:rPr>
                <w:rFonts w:ascii="Aptos" w:hAnsi="Aptos"/>
                <w:b w:val="0"/>
                <w:sz w:val="16"/>
              </w:rPr>
              <w:t>44</w:t>
            </w:r>
          </w:p>
        </w:tc>
        <w:tc>
          <w:tcPr>
            <w:tcW w:type="dxa" w:w="1440"/>
            <w:vAlign w:val="center"/>
          </w:tcPr>
          <w:p>
            <w:r>
              <w:rPr>
                <w:rFonts w:ascii="Aptos" w:hAnsi="Aptos"/>
                <w:b w:val="0"/>
                <w:sz w:val="16"/>
              </w:rPr>
              <w:t>33</w:t>
            </w:r>
          </w:p>
        </w:tc>
        <w:tc>
          <w:tcPr>
            <w:tcW w:type="dxa" w:w="1440"/>
            <w:vAlign w:val="center"/>
          </w:tcPr>
          <w:p>
            <w:r>
              <w:rPr>
                <w:rFonts w:ascii="Aptos" w:hAnsi="Aptos"/>
                <w:b w:val="0"/>
                <w:sz w:val="16"/>
              </w:rPr>
              <w:t>72.50%</w:t>
            </w:r>
          </w:p>
        </w:tc>
        <w:tc>
          <w:tcPr>
            <w:tcW w:type="dxa" w:w="1440"/>
            <w:vAlign w:val="center"/>
          </w:tcPr>
          <w:p>
            <w:r>
              <w:rPr>
                <w:rFonts w:ascii="Aptos" w:hAnsi="Aptos"/>
                <w:b w:val="0"/>
                <w:sz w:val="16"/>
              </w:rPr>
              <w:t>69.32%</w:t>
            </w:r>
          </w:p>
        </w:tc>
        <w:tc>
          <w:tcPr>
            <w:tcW w:type="dxa" w:w="1440"/>
            <w:vAlign w:val="center"/>
          </w:tcPr>
          <w:p>
            <w:r>
              <w:rPr>
                <w:rFonts w:ascii="Aptos" w:hAnsi="Aptos"/>
                <w:b w:val="0"/>
                <w:sz w:val="16"/>
              </w:rPr>
              <w:t>3.19%</w:t>
            </w:r>
          </w:p>
        </w:tc>
      </w:tr>
      <w:tr>
        <w:tc>
          <w:tcPr>
            <w:tcW w:type="dxa" w:w="1440"/>
            <w:vAlign w:val="center"/>
          </w:tcPr>
          <w:p>
            <w:r>
              <w:rPr>
                <w:rFonts w:ascii="Aptos" w:hAnsi="Aptos"/>
                <w:b w:val="0"/>
                <w:sz w:val="16"/>
              </w:rPr>
              <w:t>Overlapping traffic</w:t>
            </w:r>
          </w:p>
        </w:tc>
        <w:tc>
          <w:tcPr>
            <w:tcW w:type="dxa" w:w="1440"/>
            <w:vAlign w:val="center"/>
          </w:tcPr>
          <w:p>
            <w:r>
              <w:rPr>
                <w:rFonts w:ascii="Aptos" w:hAnsi="Aptos"/>
                <w:b w:val="0"/>
                <w:sz w:val="16"/>
              </w:rPr>
              <w:t>Fixed-threshold hybrid</w:t>
            </w:r>
          </w:p>
        </w:tc>
        <w:tc>
          <w:tcPr>
            <w:tcW w:type="dxa" w:w="1440"/>
            <w:vAlign w:val="center"/>
          </w:tcPr>
          <w:p>
            <w:r>
              <w:rPr>
                <w:rFonts w:ascii="Aptos" w:hAnsi="Aptos"/>
                <w:b w:val="0"/>
                <w:sz w:val="16"/>
              </w:rPr>
              <w:t>186</w:t>
            </w:r>
          </w:p>
        </w:tc>
        <w:tc>
          <w:tcPr>
            <w:tcW w:type="dxa" w:w="1440"/>
            <w:vAlign w:val="center"/>
          </w:tcPr>
          <w:p>
            <w:r>
              <w:rPr>
                <w:rFonts w:ascii="Aptos" w:hAnsi="Aptos"/>
                <w:b w:val="0"/>
                <w:sz w:val="16"/>
              </w:rPr>
              <w:t>17</w:t>
            </w:r>
          </w:p>
        </w:tc>
        <w:tc>
          <w:tcPr>
            <w:tcW w:type="dxa" w:w="1440"/>
            <w:vAlign w:val="center"/>
          </w:tcPr>
          <w:p>
            <w:r>
              <w:rPr>
                <w:rFonts w:ascii="Aptos" w:hAnsi="Aptos"/>
                <w:b w:val="0"/>
                <w:sz w:val="16"/>
              </w:rPr>
              <w:t>85.83%</w:t>
            </w:r>
          </w:p>
        </w:tc>
        <w:tc>
          <w:tcPr>
            <w:tcW w:type="dxa" w:w="1440"/>
            <w:vAlign w:val="center"/>
          </w:tcPr>
          <w:p>
            <w:r>
              <w:rPr>
                <w:rFonts w:ascii="Aptos" w:hAnsi="Aptos"/>
                <w:b w:val="0"/>
                <w:sz w:val="16"/>
              </w:rPr>
              <w:t>50.37%</w:t>
            </w:r>
          </w:p>
        </w:tc>
        <w:tc>
          <w:tcPr>
            <w:tcW w:type="dxa" w:w="1440"/>
            <w:vAlign w:val="center"/>
          </w:tcPr>
          <w:p>
            <w:r>
              <w:rPr>
                <w:rFonts w:ascii="Aptos" w:hAnsi="Aptos"/>
                <w:b w:val="0"/>
                <w:sz w:val="16"/>
              </w:rPr>
              <w:t>13.49%</w:t>
            </w:r>
          </w:p>
        </w:tc>
      </w:tr>
      <w:tr>
        <w:tc>
          <w:tcPr>
            <w:tcW w:type="dxa" w:w="1440"/>
            <w:vAlign w:val="center"/>
          </w:tcPr>
          <w:p>
            <w:r>
              <w:rPr>
                <w:rFonts w:ascii="Aptos" w:hAnsi="Aptos"/>
                <w:b w:val="0"/>
                <w:sz w:val="16"/>
              </w:rPr>
              <w:t>Mild network drops</w:t>
            </w:r>
          </w:p>
        </w:tc>
        <w:tc>
          <w:tcPr>
            <w:tcW w:type="dxa" w:w="1440"/>
            <w:vAlign w:val="center"/>
          </w:tcPr>
          <w:p>
            <w:r>
              <w:rPr>
                <w:rFonts w:ascii="Aptos" w:hAnsi="Aptos"/>
                <w:b w:val="0"/>
                <w:sz w:val="16"/>
              </w:rPr>
              <w:t>Fixed-threshold hybrid</w:t>
            </w:r>
          </w:p>
        </w:tc>
        <w:tc>
          <w:tcPr>
            <w:tcW w:type="dxa" w:w="1440"/>
            <w:vAlign w:val="center"/>
          </w:tcPr>
          <w:p>
            <w:r>
              <w:rPr>
                <w:rFonts w:ascii="Aptos" w:hAnsi="Aptos"/>
                <w:b w:val="0"/>
                <w:sz w:val="16"/>
              </w:rPr>
              <w:t>Not listed here</w:t>
            </w:r>
          </w:p>
        </w:tc>
        <w:tc>
          <w:tcPr>
            <w:tcW w:type="dxa" w:w="1440"/>
            <w:vAlign w:val="center"/>
          </w:tcPr>
          <w:p>
            <w:r>
              <w:rPr>
                <w:rFonts w:ascii="Aptos" w:hAnsi="Aptos"/>
                <w:b w:val="0"/>
                <w:sz w:val="16"/>
              </w:rPr>
              <w:t>22</w:t>
            </w:r>
          </w:p>
        </w:tc>
        <w:tc>
          <w:tcPr>
            <w:tcW w:type="dxa" w:w="1440"/>
            <w:vAlign w:val="center"/>
          </w:tcPr>
          <w:p>
            <w:r>
              <w:rPr>
                <w:rFonts w:ascii="Aptos" w:hAnsi="Aptos"/>
                <w:b w:val="0"/>
                <w:sz w:val="16"/>
              </w:rPr>
              <w:t>81.67%</w:t>
            </w:r>
          </w:p>
        </w:tc>
        <w:tc>
          <w:tcPr>
            <w:tcW w:type="dxa" w:w="1440"/>
            <w:vAlign w:val="center"/>
          </w:tcPr>
          <w:p>
            <w:r>
              <w:rPr>
                <w:rFonts w:ascii="Aptos" w:hAnsi="Aptos"/>
                <w:b w:val="0"/>
                <w:sz w:val="16"/>
              </w:rPr>
              <w:t>89.50%</w:t>
            </w:r>
          </w:p>
        </w:tc>
        <w:tc>
          <w:tcPr>
            <w:tcW w:type="dxa" w:w="1440"/>
            <w:vAlign w:val="center"/>
          </w:tcPr>
          <w:p>
            <w:r>
              <w:rPr>
                <w:rFonts w:ascii="Aptos" w:hAnsi="Aptos"/>
                <w:b w:val="0"/>
                <w:sz w:val="16"/>
              </w:rPr>
              <w:t>Scenario-dependent</w:t>
            </w:r>
          </w:p>
        </w:tc>
      </w:tr>
    </w:tbl>
    <w:p/>
    <w:p>
      <w:r>
        <w:t>A gated hybrid experiment produced the same predictions as XGBoost-only on the recorded baseline and stress scenarios, so it did not provide a measurable improvement in those experiments. A relative network rule also introduced additional false positives without increasing network-drop detections in its recorded experiment.</w:t>
      </w:r>
    </w:p>
    <w:p>
      <w:r>
        <w:t>Recommendation: do not deploy the fixed network threshold unchanged. Future experiments should evaluate thresholds using chronological validation data, assess normal-traffic drift, report per-scenario false alarms, and compare all models on identical timestamps.</w:t>
      </w:r>
    </w:p>
    <w:p>
      <w:pPr>
        <w:pStyle w:val="Heading1"/>
      </w:pPr>
      <w:r>
        <w:t>8. Limitations</w:t>
      </w:r>
    </w:p>
    <w:p>
      <w:pPr>
        <w:pStyle w:val="ListBullet"/>
      </w:pPr>
      <w:r>
        <w:t>The dataset is synthetic and may not represent real cloud workloads.</w:t>
      </w:r>
    </w:p>
    <w:p>
      <w:pPr>
        <w:pStyle w:val="ListBullet"/>
      </w:pPr>
      <w:r>
        <w:t>The hybrid relies on a fixed network threshold that is sensitive to traffic shifts.</w:t>
      </w:r>
    </w:p>
    <w:p>
      <w:pPr>
        <w:pStyle w:val="ListBullet"/>
      </w:pPr>
      <w:r>
        <w:t>Model thresholds and detection methods are not fully identical across experiments.</w:t>
      </w:r>
    </w:p>
    <w:p>
      <w:pPr>
        <w:pStyle w:val="ListBullet"/>
      </w:pPr>
      <w:r>
        <w:t>The ARIMA experiment focuses on network throughput and cannot independently capture every CPU or memory anomaly.</w:t>
      </w:r>
    </w:p>
    <w:p>
      <w:pPr>
        <w:pStyle w:val="ListBullet"/>
      </w:pPr>
      <w:r>
        <w:t>Performance on unseen real-world workloads, different AWS regions, or production monitoring data has not been established.</w:t>
      </w:r>
    </w:p>
    <w:p>
      <w:pPr>
        <w:pStyle w:val="ListBullet"/>
      </w:pPr>
      <w:r>
        <w:t>High test scores do not establish that the system is ready for production deployment.</w:t>
      </w:r>
    </w:p>
    <w:p>
      <w:pPr>
        <w:pStyle w:val="Heading1"/>
      </w:pPr>
      <w:r>
        <w:t>9. Conclusion and Next Steps</w:t>
      </w:r>
    </w:p>
    <w:p>
      <w:r>
        <w:t>The experiments show that different detectors provide different trade-offs. The hybrid achieved the strongest recorded F1-score on the original synthetic test set, while LSTM achieved higher recall than the hybrid at the cost of more false alarms. The adaptive detector and ARIMA experiment were weak overall in their current configurations. Stress testing exposed an important reliability issue with the hybrid's fixed network threshold.</w:t>
      </w:r>
    </w:p>
    <w:p>
      <w:pPr>
        <w:pStyle w:val="ListBullet"/>
      </w:pPr>
      <w:r>
        <w:t>Standardize a common timestamp-based test set for every model.</w:t>
      </w:r>
    </w:p>
    <w:p>
      <w:pPr>
        <w:pStyle w:val="ListBullet"/>
      </w:pPr>
      <w:r>
        <w:t>Use validation-only threshold selection and avoid tuning on the final test set.</w:t>
      </w:r>
    </w:p>
    <w:p>
      <w:pPr>
        <w:pStyle w:val="ListBullet"/>
      </w:pPr>
      <w:r>
        <w:t>Repeat stress tests across several traffic levels and anomaly severities.</w:t>
      </w:r>
    </w:p>
    <w:p>
      <w:pPr>
        <w:pStyle w:val="ListBullet"/>
      </w:pPr>
      <w:r>
        <w:t>Explore adaptive or context-aware network thresholds with explicit false-alarm constraints.</w:t>
      </w:r>
    </w:p>
    <w:p>
      <w:pPr>
        <w:pStyle w:val="ListBullet"/>
      </w:pPr>
      <w:r>
        <w:t>Evaluate on safely collected, anonymized cloud telemetry before making real-world claims.</w:t>
      </w:r>
    </w:p>
    <w:p>
      <w:pPr>
        <w:pStyle w:val="ListBullet"/>
      </w:pPr>
      <w:r>
        <w:t>Keep the hybrid as an experimental benchmark until its robustness improves.</w:t>
      </w:r>
    </w:p>
    <w:p>
      <w:pPr>
        <w:pStyle w:val="Heading1"/>
      </w:pPr>
      <w:r>
        <w:t>10. Reproducibility and Project Artifacts</w:t>
      </w:r>
    </w:p>
    <w:p>
      <w:r>
        <w:t>This report was generated from the CloudPulse project workspace. The visualizations are expected under outputs/visualizations/. The project also contains model-specific scripts, prediction files, metric outputs, and configuration files. Keep these artifacts together with the dataset and record dependency versions when preparing a final academic submission.</w:t>
      </w:r>
    </w:p>
    <w:sectPr w:rsidR="00FC693F" w:rsidRPr="0006063C" w:rsidSect="00034616">
      <w:footerReference w:type="default" r:id="rId1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CloudPulse | Model Evaluation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