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Safety Procedure Update</w:t>
      </w:r>
    </w:p>
    <w:p>
      <w:r>
        <w:t>Issued: February 12, 2025. This memo revises the Laboratory Safety SOP.</w:t>
      </w:r>
    </w:p>
    <w:p>
      <w:pPr>
        <w:pStyle w:val="Heading1"/>
      </w:pPr>
      <w:r>
        <w:t>Emergency Equipment</w:t>
      </w:r>
    </w:p>
    <w:p>
      <w:r>
        <w:t>With effect from March 1, 2025, eyewash stations must be tested every day.</w:t>
      </w:r>
    </w:p>
    <w:p>
      <w:pPr>
        <w:pStyle w:val="Heading1"/>
      </w:pPr>
      <w:r>
        <w:t>Spill Response</w:t>
      </w:r>
    </w:p>
    <w:p>
      <w:r>
        <w:t>Spills larger than 250 mL must be reported to the Safety Officer within 30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