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Order 7</w:t>
      </w:r>
    </w:p>
    <w:p>
      <w:r>
        <w:t>Approved on August 3, 2025.</w:t>
      </w:r>
    </w:p>
    <w:p>
      <w:pPr>
        <w:pStyle w:val="Heading1"/>
      </w:pPr>
      <w:r>
        <w:t>Schedule and Cost Impact</w:t>
      </w:r>
    </w:p>
    <w:p>
      <w:r>
        <w:t>Because of river-level delays the completion deadline is extended to February 28, 2026. The project budget is increased to $13.1 million.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