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Amendment No. 1 to the Vendor Services Agreement</w:t>
      </w:r>
    </w:p>
    <w:p>
      <w:r>
        <w:t>Effective date: January 15, 2024. This Amendment modifies the Vendor Services Agreement dated March 3, 2023 between Northwind Logistics Ltd and Acme Freight Solutions.</w:t>
      </w:r>
    </w:p>
    <w:p>
      <w:pPr>
        <w:pStyle w:val="Heading1"/>
      </w:pPr>
      <w:r>
        <w:t>1. Scope Expansion and Fees</w:t>
      </w:r>
    </w:p>
    <w:p>
      <w:r>
        <w:t>To reflect the expanded cross-border scope, the total contract value is increased to $540,000.</w:t>
      </w:r>
    </w:p>
    <w:p>
      <w:pPr>
        <w:pStyle w:val="Heading1"/>
      </w:pPr>
      <w:r>
        <w:t>2. Payment Terms</w:t>
      </w:r>
    </w:p>
    <w:p>
      <w:r>
        <w:t>Section 3 is amended so that invoices are payable Net 45 from the invoice date. The late payment interest rate of 1.5% per month is unchanged.</w:t>
      </w:r>
    </w:p>
    <w:p>
      <w:pPr>
        <w:pStyle w:val="Heading1"/>
      </w:pPr>
      <w:r>
        <w:t>3. Termination</w:t>
      </w:r>
    </w:p>
    <w:p>
      <w:r>
        <w:t>Section 4 is amended so that either party may terminate for convenience by giving ninety (90) days written notice.</w:t>
      </w:r>
    </w:p>
    <w:p>
      <w:pPr>
        <w:pStyle w:val="Heading1"/>
      </w:pPr>
      <w:r>
        <w:t>4. Revised Service Levels</w:t>
      </w:r>
    </w:p>
    <w:p>
      <w:r>
        <w:t>The following service level replaces the target in Section 5 of the Agreement: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Measurement</w:t>
            </w:r>
          </w:p>
        </w:tc>
      </w:tr>
      <w:tr>
        <w:tc>
          <w:tcPr>
            <w:tcW w:type="dxa" w:w="2880"/>
          </w:tcPr>
          <w:p>
            <w:r>
              <w:t>On-time delivery</w:t>
            </w:r>
          </w:p>
        </w:tc>
        <w:tc>
          <w:tcPr>
            <w:tcW w:type="dxa" w:w="2880"/>
          </w:tcPr>
          <w:p>
            <w:r>
              <w:t>95%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</w:tr>
      <w:tr>
        <w:tc>
          <w:tcPr>
            <w:tcW w:type="dxa" w:w="2880"/>
          </w:tcPr>
          <w:p>
            <w:r>
              <w:t>Damage rate</w:t>
            </w:r>
          </w:p>
        </w:tc>
        <w:tc>
          <w:tcPr>
            <w:tcW w:type="dxa" w:w="2880"/>
          </w:tcPr>
          <w:p>
            <w:r>
              <w:t>0.5%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</w:tr>
    </w:tbl>
    <w:p>
      <w:pPr>
        <w:pStyle w:val="Heading1"/>
      </w:pPr>
      <w:r>
        <w:t>5. General</w:t>
      </w:r>
    </w:p>
    <w:p>
      <w:r>
        <w:t>All other terms of the Agreement remain in full force and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Amendment No. 1 to Vendor Services Agreement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