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Last updated: May 6, 2024.</w:t>
      </w:r>
    </w:p>
    <w:p>
      <w:pPr>
        <w:pStyle w:val="Heading1"/>
      </w:pPr>
      <w:r>
        <w:t>Leave</w:t>
      </w:r>
    </w:p>
    <w:p>
      <w:r>
        <w:t>Employees receive 20 days of paid annual leave per calendar year. Unused leave may be carried over for up to three months.</w:t>
      </w:r>
    </w:p>
    <w:p>
      <w:pPr>
        <w:pStyle w:val="Heading1"/>
      </w:pPr>
      <w:r>
        <w:t>IT and Security</w:t>
      </w:r>
    </w:p>
    <w:p>
      <w:r>
        <w:t>Passwords expire every 60 days and must be changed on the company portal.</w:t>
      </w:r>
    </w:p>
    <w:p>
      <w:r>
        <w:t>Multi-factor authentication is optional for remote access when connecting from the corporate VPN.</w:t>
      </w:r>
    </w:p>
    <w:p>
      <w:r>
        <w:t>Security incidents must be reported to the IT Security team within 48 hours.</w:t>
      </w:r>
    </w:p>
    <w:p>
      <w:pPr>
        <w:pStyle w:val="Heading1"/>
      </w:pPr>
      <w:r>
        <w:t>Remote Work</w:t>
      </w:r>
    </w:p>
    <w:p>
      <w:r>
        <w:t>Employees may work remotely up to three days per week with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