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14584" w14:paraId="26DA88A4" w14:textId="77777777">
        <w:tc>
          <w:tcPr>
            <w:tcW w:w="9071" w:type="dxa"/>
            <w:gridSpan w:val="3"/>
            <w:shd w:val="clear" w:color="auto" w:fill="1E293B"/>
          </w:tcPr>
          <w:p w14:paraId="1FFDABEE" w14:textId="77777777" w:rsidR="00E14584" w:rsidRDefault="00E14584"/>
          <w:p w14:paraId="61B97B96" w14:textId="77777777" w:rsidR="00E14584" w:rsidRDefault="00000000">
            <w:pPr>
              <w:spacing w:before="160" w:after="4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44"/>
              </w:rPr>
              <w:t>NETFLIX CUSTOMER CHURN &amp;</w:t>
            </w:r>
          </w:p>
          <w:p w14:paraId="23C71730" w14:textId="77777777" w:rsidR="00E14584" w:rsidRDefault="00000000">
            <w:pPr>
              <w:spacing w:after="4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E50914"/>
                <w:sz w:val="44"/>
              </w:rPr>
              <w:t>SUBSCRIBER RETENTION ANALYTICS</w:t>
            </w:r>
          </w:p>
          <w:p w14:paraId="27D16348" w14:textId="77777777" w:rsidR="00E14584" w:rsidRDefault="00000000">
            <w:pPr>
              <w:spacing w:before="80" w:after="160" w:line="240" w:lineRule="auto"/>
              <w:jc w:val="center"/>
            </w:pPr>
            <w:r>
              <w:rPr>
                <w:rFonts w:ascii="Calibri" w:eastAsia="Calibri" w:hAnsi="Calibri" w:cs="Calibri"/>
                <w:color w:val="E2E8F0"/>
              </w:rPr>
              <w:t>Predictive Machine Learning Classification | Internship Project Report</w:t>
            </w:r>
          </w:p>
        </w:tc>
      </w:tr>
      <w:tr w:rsidR="00E14584" w14:paraId="2A7D41BC" w14:textId="77777777">
        <w:tc>
          <w:tcPr>
            <w:tcW w:w="3135" w:type="dxa"/>
            <w:tcBorders>
              <w:bottom w:val="single" w:sz="4" w:space="0" w:color="1E293B"/>
            </w:tcBorders>
            <w:shd w:val="clear" w:color="auto" w:fill="F8FAFC"/>
          </w:tcPr>
          <w:p w14:paraId="28B8B9FF" w14:textId="77777777" w:rsidR="00E14584" w:rsidRDefault="00E14584"/>
          <w:p w14:paraId="51C42AE0" w14:textId="77777777" w:rsidR="00E14584" w:rsidRDefault="00000000">
            <w:pPr>
              <w:spacing w:before="120" w:after="2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64748B"/>
                <w:sz w:val="15"/>
              </w:rPr>
              <w:t>CANDIDATE</w:t>
            </w:r>
          </w:p>
          <w:p w14:paraId="6DADB8E6" w14:textId="77777777" w:rsidR="00E14584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color w:val="1E293B"/>
                <w:sz w:val="20"/>
              </w:rPr>
              <w:t>Uppala Sahith</w:t>
            </w:r>
          </w:p>
        </w:tc>
        <w:tc>
          <w:tcPr>
            <w:tcW w:w="3135" w:type="dxa"/>
            <w:tcBorders>
              <w:bottom w:val="single" w:sz="4" w:space="0" w:color="1E293B"/>
            </w:tcBorders>
            <w:shd w:val="clear" w:color="auto" w:fill="F8FAFC"/>
          </w:tcPr>
          <w:p w14:paraId="3C9B547A" w14:textId="77777777" w:rsidR="00E14584" w:rsidRDefault="00E14584"/>
          <w:p w14:paraId="2E04AF27" w14:textId="77777777" w:rsidR="00E14584" w:rsidRDefault="00000000">
            <w:pPr>
              <w:spacing w:before="120" w:after="2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64748B"/>
                <w:sz w:val="15"/>
              </w:rPr>
              <w:t>PROGRAM</w:t>
            </w:r>
          </w:p>
          <w:p w14:paraId="04C0350D" w14:textId="77777777" w:rsidR="00E14584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color w:val="1E293B"/>
                <w:sz w:val="20"/>
              </w:rPr>
              <w:t>AICTE | IBM SkillsBuild</w:t>
            </w:r>
            <w:r>
              <w:rPr>
                <w:rFonts w:ascii="Calibri" w:eastAsia="Calibri" w:hAnsi="Calibri" w:cs="Calibri"/>
                <w:b/>
                <w:color w:val="1E293B"/>
                <w:sz w:val="20"/>
              </w:rPr>
              <w:br/>
              <w:t>Data Analytics with AI Internship</w:t>
            </w:r>
          </w:p>
        </w:tc>
        <w:tc>
          <w:tcPr>
            <w:tcW w:w="3135" w:type="dxa"/>
            <w:tcBorders>
              <w:bottom w:val="single" w:sz="4" w:space="0" w:color="1E293B"/>
            </w:tcBorders>
            <w:shd w:val="clear" w:color="auto" w:fill="F8FAFC"/>
          </w:tcPr>
          <w:p w14:paraId="5CBFEAF2" w14:textId="77777777" w:rsidR="00E14584" w:rsidRDefault="00E14584"/>
          <w:p w14:paraId="49A51ABC" w14:textId="77777777" w:rsidR="00E14584" w:rsidRDefault="00000000">
            <w:pPr>
              <w:spacing w:before="120" w:after="2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64748B"/>
                <w:sz w:val="15"/>
              </w:rPr>
              <w:t>DATE</w:t>
            </w:r>
          </w:p>
          <w:p w14:paraId="5DFF6973" w14:textId="2DB4EF91" w:rsidR="00E14584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color w:val="1E293B"/>
                <w:sz w:val="20"/>
              </w:rPr>
              <w:t>202</w:t>
            </w:r>
            <w:r w:rsidR="003D7CC0">
              <w:rPr>
                <w:rFonts w:ascii="Calibri" w:eastAsia="Calibri" w:hAnsi="Calibri" w:cs="Calibri"/>
                <w:b/>
                <w:color w:val="1E293B"/>
                <w:sz w:val="20"/>
              </w:rPr>
              <w:t>6</w:t>
            </w:r>
          </w:p>
        </w:tc>
      </w:tr>
    </w:tbl>
    <w:p w14:paraId="224FA4C9" w14:textId="77777777" w:rsidR="00E14584" w:rsidRDefault="00E14584">
      <w:pPr>
        <w:spacing w:before="80" w:after="0"/>
      </w:pPr>
    </w:p>
    <w:p w14:paraId="6471848A" w14:textId="77777777" w:rsidR="00E14584" w:rsidRDefault="00000000">
      <w:pPr>
        <w:spacing w:before="200" w:after="40"/>
      </w:pPr>
      <w:r>
        <w:rPr>
          <w:rFonts w:ascii="Calibri" w:eastAsia="Calibri" w:hAnsi="Calibri" w:cs="Calibri"/>
          <w:b/>
          <w:color w:val="64748B"/>
          <w:sz w:val="16"/>
        </w:rPr>
        <w:t>EXECUTIVE KPI DASHBOARD</w:t>
      </w:r>
    </w:p>
    <w:p w14:paraId="71F693F2" w14:textId="77777777" w:rsidR="00E14584" w:rsidRDefault="00E14584">
      <w:pPr>
        <w:pBdr>
          <w:bottom w:val="single" w:sz="8" w:space="1" w:color="1E293B"/>
        </w:pBd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E14584" w14:paraId="66332D0C" w14:textId="77777777">
        <w:trPr>
          <w:jc w:val="center"/>
        </w:trPr>
        <w:tc>
          <w:tcPr>
            <w:tcW w:w="4535" w:type="dxa"/>
            <w:shd w:val="clear" w:color="auto" w:fill="1E293B"/>
          </w:tcPr>
          <w:p w14:paraId="1B96A7BF" w14:textId="77777777" w:rsidR="00E14584" w:rsidRDefault="00E14584"/>
          <w:p w14:paraId="7DAE1589" w14:textId="77777777" w:rsidR="00E14584" w:rsidRDefault="00000000">
            <w:pPr>
              <w:spacing w:before="240"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56"/>
              </w:rPr>
              <w:t>5,000</w:t>
            </w:r>
          </w:p>
          <w:p w14:paraId="1A7D3018" w14:textId="77777777" w:rsidR="00E14584" w:rsidRDefault="00000000">
            <w:pPr>
              <w:spacing w:before="40"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E2E8F0"/>
                <w:sz w:val="17"/>
              </w:rPr>
              <w:t>TOTAL SUBSCRIBER BASE</w:t>
            </w:r>
          </w:p>
          <w:p w14:paraId="4FAABDFE" w14:textId="77777777" w:rsidR="00E14584" w:rsidRDefault="00000000">
            <w:pPr>
              <w:spacing w:before="80" w:after="240"/>
              <w:jc w:val="center"/>
            </w:pPr>
            <w:r>
              <w:rPr>
                <w:rFonts w:ascii="Calibri" w:eastAsia="Calibri" w:hAnsi="Calibri" w:cs="Calibri"/>
                <w:i/>
                <w:color w:val="CBD5E1"/>
                <w:sz w:val="18"/>
              </w:rPr>
              <w:t>Accounts analysed across</w:t>
            </w:r>
            <w:r>
              <w:rPr>
                <w:rFonts w:ascii="Calibri" w:eastAsia="Calibri" w:hAnsi="Calibri" w:cs="Calibri"/>
                <w:i/>
                <w:color w:val="CBD5E1"/>
                <w:sz w:val="18"/>
              </w:rPr>
              <w:br/>
              <w:t>6 global regions &amp; 3 plan tiers</w:t>
            </w:r>
          </w:p>
        </w:tc>
        <w:tc>
          <w:tcPr>
            <w:tcW w:w="4535" w:type="dxa"/>
            <w:shd w:val="clear" w:color="auto" w:fill="E50914"/>
          </w:tcPr>
          <w:p w14:paraId="644798BB" w14:textId="77777777" w:rsidR="00E14584" w:rsidRDefault="00E14584"/>
          <w:p w14:paraId="29BB2782" w14:textId="77777777" w:rsidR="00E14584" w:rsidRDefault="00000000">
            <w:pPr>
              <w:spacing w:before="240"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56"/>
              </w:rPr>
              <w:t>50.3%</w:t>
            </w:r>
          </w:p>
          <w:p w14:paraId="0BE77D72" w14:textId="77777777" w:rsidR="00E14584" w:rsidRDefault="00000000">
            <w:pPr>
              <w:spacing w:before="40"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E2E8F0"/>
                <w:sz w:val="17"/>
              </w:rPr>
              <w:t>PLATFORM BASELINE CHURN RATE</w:t>
            </w:r>
          </w:p>
          <w:p w14:paraId="4AC44260" w14:textId="77777777" w:rsidR="00E14584" w:rsidRDefault="00000000">
            <w:pPr>
              <w:spacing w:before="80" w:after="240"/>
              <w:jc w:val="center"/>
            </w:pPr>
            <w:r>
              <w:rPr>
                <w:rFonts w:ascii="Calibri" w:eastAsia="Calibri" w:hAnsi="Calibri" w:cs="Calibri"/>
                <w:i/>
                <w:color w:val="CBD5E1"/>
                <w:sz w:val="18"/>
              </w:rPr>
              <w:t>Near-balanced class split —</w:t>
            </w:r>
            <w:r>
              <w:rPr>
                <w:rFonts w:ascii="Calibri" w:eastAsia="Calibri" w:hAnsi="Calibri" w:cs="Calibri"/>
                <w:i/>
                <w:color w:val="CBD5E1"/>
                <w:sz w:val="18"/>
              </w:rPr>
              <w:br/>
              <w:t>critical MRR risk signal</w:t>
            </w:r>
          </w:p>
        </w:tc>
      </w:tr>
      <w:tr w:rsidR="00E14584" w14:paraId="0DFA8A94" w14:textId="77777777">
        <w:trPr>
          <w:jc w:val="center"/>
        </w:trPr>
        <w:tc>
          <w:tcPr>
            <w:tcW w:w="4535" w:type="dxa"/>
            <w:shd w:val="clear" w:color="auto" w:fill="1E293B"/>
          </w:tcPr>
          <w:p w14:paraId="54540CD6" w14:textId="77777777" w:rsidR="00E14584" w:rsidRDefault="00E14584"/>
          <w:p w14:paraId="377D41AA" w14:textId="77777777" w:rsidR="00E14584" w:rsidRDefault="00000000">
            <w:pPr>
              <w:spacing w:before="240"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56"/>
              </w:rPr>
              <w:t>30+ Days</w:t>
            </w:r>
          </w:p>
          <w:p w14:paraId="5B4CDB04" w14:textId="77777777" w:rsidR="00E14584" w:rsidRDefault="00000000">
            <w:pPr>
              <w:spacing w:before="40"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E2E8F0"/>
                <w:sz w:val="17"/>
              </w:rPr>
              <w:t>INACTIVITY TIPPING POINT</w:t>
            </w:r>
          </w:p>
          <w:p w14:paraId="2E7B1480" w14:textId="77777777" w:rsidR="00E14584" w:rsidRDefault="00000000">
            <w:pPr>
              <w:spacing w:before="80" w:after="240"/>
              <w:jc w:val="center"/>
            </w:pPr>
            <w:r>
              <w:rPr>
                <w:rFonts w:ascii="Calibri" w:eastAsia="Calibri" w:hAnsi="Calibri" w:cs="Calibri"/>
                <w:i/>
                <w:color w:val="CBD5E1"/>
                <w:sz w:val="18"/>
              </w:rPr>
              <w:t>Subscribers inactive &gt;30 days</w:t>
            </w:r>
            <w:r>
              <w:rPr>
                <w:rFonts w:ascii="Calibri" w:eastAsia="Calibri" w:hAnsi="Calibri" w:cs="Calibri"/>
                <w:i/>
                <w:color w:val="CBD5E1"/>
                <w:sz w:val="18"/>
              </w:rPr>
              <w:br/>
              <w:t>show &gt;72% churn probability</w:t>
            </w:r>
          </w:p>
        </w:tc>
        <w:tc>
          <w:tcPr>
            <w:tcW w:w="4535" w:type="dxa"/>
            <w:shd w:val="clear" w:color="auto" w:fill="E50914"/>
          </w:tcPr>
          <w:p w14:paraId="42CE497E" w14:textId="77777777" w:rsidR="00E14584" w:rsidRDefault="00E14584"/>
          <w:p w14:paraId="7EE63C30" w14:textId="77777777" w:rsidR="00E14584" w:rsidRDefault="00000000">
            <w:pPr>
              <w:spacing w:before="240"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56"/>
              </w:rPr>
              <w:t>96.1% / 97.2%</w:t>
            </w:r>
          </w:p>
          <w:p w14:paraId="61A00056" w14:textId="77777777" w:rsidR="00E14584" w:rsidRDefault="00000000">
            <w:pPr>
              <w:spacing w:before="40"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E2E8F0"/>
                <w:sz w:val="17"/>
              </w:rPr>
              <w:t>MODEL ACCURACY / PRECISION</w:t>
            </w:r>
          </w:p>
          <w:p w14:paraId="5239C9AB" w14:textId="77777777" w:rsidR="00E14584" w:rsidRDefault="00000000">
            <w:pPr>
              <w:spacing w:before="80" w:after="240"/>
              <w:jc w:val="center"/>
            </w:pPr>
            <w:r>
              <w:rPr>
                <w:rFonts w:ascii="Calibri" w:eastAsia="Calibri" w:hAnsi="Calibri" w:cs="Calibri"/>
                <w:i/>
                <w:color w:val="CBD5E1"/>
                <w:sz w:val="18"/>
              </w:rPr>
              <w:t>Random Forest — 5-fold CV: 96.58%</w:t>
            </w:r>
            <w:r>
              <w:rPr>
                <w:rFonts w:ascii="Calibri" w:eastAsia="Calibri" w:hAnsi="Calibri" w:cs="Calibri"/>
                <w:i/>
                <w:color w:val="CBD5E1"/>
                <w:sz w:val="18"/>
              </w:rPr>
              <w:br/>
              <w:t>ROC-AUC: 99.54%</w:t>
            </w:r>
          </w:p>
        </w:tc>
      </w:tr>
    </w:tbl>
    <w:p w14:paraId="5FA300FE" w14:textId="77777777" w:rsidR="00E14584" w:rsidRDefault="00E14584">
      <w:pPr>
        <w:spacing w:before="80" w:after="0"/>
      </w:pPr>
    </w:p>
    <w:p w14:paraId="0B69F714" w14:textId="77777777" w:rsidR="00E14584" w:rsidRDefault="00E14584">
      <w:pPr>
        <w:pBdr>
          <w:bottom w:val="single" w:sz="4" w:space="1" w:color="E2E8F0"/>
        </w:pBd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14584" w14:paraId="5B8656A6" w14:textId="77777777">
        <w:tc>
          <w:tcPr>
            <w:tcW w:w="2268" w:type="dxa"/>
            <w:shd w:val="clear" w:color="auto" w:fill="F8FAFC"/>
          </w:tcPr>
          <w:p w14:paraId="7B3875D5" w14:textId="77777777" w:rsidR="00E14584" w:rsidRDefault="00E14584"/>
          <w:p w14:paraId="400D55BA" w14:textId="77777777" w:rsidR="00E14584" w:rsidRDefault="00000000">
            <w:pPr>
              <w:spacing w:before="120" w:after="2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1E293B"/>
                <w:sz w:val="26"/>
              </w:rPr>
              <w:t>4,000 / 1,000</w:t>
            </w:r>
          </w:p>
          <w:p w14:paraId="5A9EA965" w14:textId="77777777" w:rsidR="00E14584" w:rsidRDefault="00000000">
            <w:pPr>
              <w:spacing w:after="120" w:line="240" w:lineRule="auto"/>
              <w:jc w:val="center"/>
            </w:pPr>
            <w:r>
              <w:rPr>
                <w:rFonts w:ascii="Calibri" w:eastAsia="Calibri" w:hAnsi="Calibri" w:cs="Calibri"/>
                <w:color w:val="64748B"/>
                <w:sz w:val="16"/>
              </w:rPr>
              <w:t>Train / Test Records</w:t>
            </w:r>
          </w:p>
        </w:tc>
        <w:tc>
          <w:tcPr>
            <w:tcW w:w="2268" w:type="dxa"/>
            <w:shd w:val="clear" w:color="auto" w:fill="F8FAFC"/>
          </w:tcPr>
          <w:p w14:paraId="13D565F4" w14:textId="77777777" w:rsidR="00E14584" w:rsidRDefault="00E14584"/>
          <w:p w14:paraId="7CB50872" w14:textId="77777777" w:rsidR="00E14584" w:rsidRDefault="00000000">
            <w:pPr>
              <w:spacing w:before="120" w:after="2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1E293B"/>
                <w:sz w:val="26"/>
              </w:rPr>
              <w:t>16 Features</w:t>
            </w:r>
          </w:p>
          <w:p w14:paraId="4811F034" w14:textId="77777777" w:rsidR="00E14584" w:rsidRDefault="00000000">
            <w:pPr>
              <w:spacing w:after="120" w:line="240" w:lineRule="auto"/>
              <w:jc w:val="center"/>
            </w:pPr>
            <w:r>
              <w:rPr>
                <w:rFonts w:ascii="Calibri" w:eastAsia="Calibri" w:hAnsi="Calibri" w:cs="Calibri"/>
                <w:color w:val="64748B"/>
                <w:sz w:val="16"/>
              </w:rPr>
              <w:t>Raw + Engineered</w:t>
            </w:r>
          </w:p>
        </w:tc>
        <w:tc>
          <w:tcPr>
            <w:tcW w:w="2268" w:type="dxa"/>
            <w:shd w:val="clear" w:color="auto" w:fill="F8FAFC"/>
          </w:tcPr>
          <w:p w14:paraId="7338DF38" w14:textId="77777777" w:rsidR="00E14584" w:rsidRDefault="00E14584"/>
          <w:p w14:paraId="67D8497F" w14:textId="77777777" w:rsidR="00E14584" w:rsidRDefault="00000000">
            <w:pPr>
              <w:spacing w:before="120" w:after="2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1E293B"/>
                <w:sz w:val="26"/>
              </w:rPr>
              <w:t>2 Models</w:t>
            </w:r>
          </w:p>
          <w:p w14:paraId="6F888B8A" w14:textId="77777777" w:rsidR="00E14584" w:rsidRDefault="00000000">
            <w:pPr>
              <w:spacing w:after="120" w:line="240" w:lineRule="auto"/>
              <w:jc w:val="center"/>
            </w:pPr>
            <w:r>
              <w:rPr>
                <w:rFonts w:ascii="Calibri" w:eastAsia="Calibri" w:hAnsi="Calibri" w:cs="Calibri"/>
                <w:color w:val="64748B"/>
                <w:sz w:val="16"/>
              </w:rPr>
              <w:t>RF + Logistic Regression</w:t>
            </w:r>
          </w:p>
        </w:tc>
        <w:tc>
          <w:tcPr>
            <w:tcW w:w="2268" w:type="dxa"/>
            <w:shd w:val="clear" w:color="auto" w:fill="F8FAFC"/>
          </w:tcPr>
          <w:p w14:paraId="645E1761" w14:textId="77777777" w:rsidR="00E14584" w:rsidRDefault="00E14584"/>
          <w:p w14:paraId="08B3D3F6" w14:textId="77777777" w:rsidR="00E14584" w:rsidRDefault="00000000">
            <w:pPr>
              <w:spacing w:before="120" w:after="2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1E293B"/>
                <w:sz w:val="26"/>
              </w:rPr>
              <w:t>0 Missing</w:t>
            </w:r>
          </w:p>
          <w:p w14:paraId="75D7312C" w14:textId="77777777" w:rsidR="00E14584" w:rsidRDefault="00000000">
            <w:pPr>
              <w:spacing w:after="120" w:line="240" w:lineRule="auto"/>
              <w:jc w:val="center"/>
            </w:pPr>
            <w:r>
              <w:rPr>
                <w:rFonts w:ascii="Calibri" w:eastAsia="Calibri" w:hAnsi="Calibri" w:cs="Calibri"/>
                <w:color w:val="64748B"/>
                <w:sz w:val="16"/>
              </w:rPr>
              <w:t>Data Quality Score</w:t>
            </w:r>
          </w:p>
        </w:tc>
      </w:tr>
    </w:tbl>
    <w:p w14:paraId="4BB70D46" w14:textId="77777777" w:rsidR="00E14584" w:rsidRDefault="00000000">
      <w:r>
        <w:br w:type="page"/>
      </w:r>
    </w:p>
    <w:p w14:paraId="488510A5" w14:textId="77777777" w:rsidR="00E14584" w:rsidRDefault="00000000">
      <w:pPr>
        <w:spacing w:after="80"/>
      </w:pPr>
      <w:r>
        <w:rPr>
          <w:rFonts w:ascii="Calibri" w:eastAsia="Calibri" w:hAnsi="Calibri" w:cs="Calibri"/>
          <w:b/>
          <w:color w:val="E50914"/>
          <w:sz w:val="26"/>
        </w:rPr>
        <w:lastRenderedPageBreak/>
        <w:t xml:space="preserve">01  </w:t>
      </w:r>
      <w:r>
        <w:rPr>
          <w:rFonts w:ascii="Calibri" w:eastAsia="Calibri" w:hAnsi="Calibri" w:cs="Calibri"/>
          <w:b/>
          <w:color w:val="1E293B"/>
          <w:sz w:val="26"/>
        </w:rPr>
        <w:t>PROBLEM STATEMENT &amp; BUSINESS CONTEXT</w:t>
      </w:r>
    </w:p>
    <w:p w14:paraId="33DC5818" w14:textId="77777777" w:rsidR="00E14584" w:rsidRDefault="00E14584" w:rsidP="003D7CC0">
      <w:pPr>
        <w:pBdr>
          <w:bottom w:val="single" w:sz="6" w:space="0" w:color="1E293B"/>
        </w:pBdr>
        <w:spacing w:after="0"/>
      </w:pPr>
    </w:p>
    <w:tbl>
      <w:tblPr>
        <w:tblW w:w="0" w:type="auto"/>
        <w:tblBorders>
          <w:top w:val="single" w:sz="12" w:space="0" w:color="1E293B"/>
          <w:left w:val="single" w:sz="12" w:space="0" w:color="1E293B"/>
          <w:bottom w:val="single" w:sz="12" w:space="0" w:color="1E293B"/>
          <w:right w:val="single" w:sz="12" w:space="0" w:color="1E293B"/>
          <w:insideH w:val="single" w:sz="6" w:space="0" w:color="1E293B"/>
          <w:insideV w:val="single" w:sz="6" w:space="0" w:color="1E293B"/>
        </w:tblBorders>
        <w:tblLook w:val="04A0" w:firstRow="1" w:lastRow="0" w:firstColumn="1" w:lastColumn="0" w:noHBand="0" w:noVBand="1"/>
      </w:tblPr>
      <w:tblGrid>
        <w:gridCol w:w="9515"/>
      </w:tblGrid>
      <w:tr w:rsidR="00E14584" w14:paraId="4C41B4CF" w14:textId="77777777" w:rsidTr="003D7CC0">
        <w:trPr>
          <w:trHeight w:val="3806"/>
        </w:trPr>
        <w:tc>
          <w:tcPr>
            <w:tcW w:w="9515" w:type="dxa"/>
            <w:shd w:val="clear" w:color="auto" w:fill="F8FAFC"/>
          </w:tcPr>
          <w:p w14:paraId="272C5581" w14:textId="77777777" w:rsidR="00E14584" w:rsidRDefault="00E14584"/>
          <w:p w14:paraId="6AD905F6" w14:textId="77777777" w:rsidR="00E14584" w:rsidRDefault="00000000">
            <w:pPr>
              <w:spacing w:before="40" w:after="20"/>
            </w:pPr>
            <w:r>
              <w:rPr>
                <w:rFonts w:ascii="Calibri" w:eastAsia="Calibri" w:hAnsi="Calibri" w:cs="Calibri"/>
                <w:b/>
                <w:color w:val="1E293B"/>
                <w:sz w:val="23"/>
              </w:rPr>
              <w:t>The Challenge of Silent Subscriber Attrition</w:t>
            </w:r>
          </w:p>
          <w:p w14:paraId="22C68EE0" w14:textId="77777777" w:rsidR="00E14584" w:rsidRDefault="00E14584">
            <w:pPr>
              <w:spacing w:after="20"/>
            </w:pPr>
          </w:p>
          <w:p w14:paraId="3663FF6B" w14:textId="77777777" w:rsidR="00E14584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1E293B"/>
                <w:sz w:val="21"/>
              </w:rPr>
              <w:t>Netflix's subscription revenue model depends entirely on monthly renewal decisions made silently by 260+ million global subscribers. Unlike public cancellations, churn is often behavioural — a gradual disengagement that precedes cancellation by weeks. Once a subscriber decides to leave, the revenue is already lost. Predictive analytics changes the equation: by scoring each subscriber's churn risk daily, the business can intervene before the decision is made.</w:t>
            </w:r>
          </w:p>
          <w:p w14:paraId="354A6FC2" w14:textId="77777777" w:rsidR="00E14584" w:rsidRDefault="00E14584">
            <w:pPr>
              <w:spacing w:after="20"/>
            </w:pPr>
          </w:p>
          <w:p w14:paraId="03AE2EAF" w14:textId="77777777" w:rsidR="00E14584" w:rsidRDefault="00000000">
            <w:pPr>
              <w:spacing w:after="40"/>
            </w:pPr>
            <w:r>
              <w:rPr>
                <w:rFonts w:ascii="Calibri" w:eastAsia="Calibri" w:hAnsi="Calibri" w:cs="Calibri"/>
                <w:i/>
                <w:color w:val="B20710"/>
                <w:sz w:val="20"/>
              </w:rPr>
              <w:t>This project delivers a production-grade Random Forest classifier trained on 5,000 customer records achieving 96.10% accuracy and ROC-AUC of 0.9954 — enabling subscriber-level risk scoring and targeted retention.</w:t>
            </w:r>
          </w:p>
        </w:tc>
      </w:tr>
    </w:tbl>
    <w:p w14:paraId="0FC23CBF" w14:textId="77777777" w:rsidR="00E14584" w:rsidRDefault="00E14584">
      <w:pPr>
        <w:spacing w:before="200" w:after="0"/>
      </w:pPr>
    </w:p>
    <w:p w14:paraId="29A1332B" w14:textId="77777777" w:rsidR="00E14584" w:rsidRDefault="00000000">
      <w:pPr>
        <w:spacing w:after="80"/>
      </w:pPr>
      <w:r>
        <w:rPr>
          <w:rFonts w:ascii="Calibri" w:eastAsia="Calibri" w:hAnsi="Calibri" w:cs="Calibri"/>
          <w:b/>
          <w:color w:val="E50914"/>
          <w:sz w:val="26"/>
        </w:rPr>
        <w:t xml:space="preserve">02  </w:t>
      </w:r>
      <w:r>
        <w:rPr>
          <w:rFonts w:ascii="Calibri" w:eastAsia="Calibri" w:hAnsi="Calibri" w:cs="Calibri"/>
          <w:b/>
          <w:color w:val="1E293B"/>
          <w:sz w:val="26"/>
        </w:rPr>
        <w:t>EXECUTIVE DASHBOARD — VISUAL OUTPUT</w:t>
      </w:r>
    </w:p>
    <w:p w14:paraId="2834D2E9" w14:textId="77777777" w:rsidR="00E14584" w:rsidRDefault="00E14584">
      <w:pPr>
        <w:pBdr>
          <w:bottom w:val="single" w:sz="6" w:space="1" w:color="1E293B"/>
        </w:pBdr>
        <w:spacing w:after="0"/>
      </w:pPr>
    </w:p>
    <w:p w14:paraId="0D8C09C4" w14:textId="77777777" w:rsidR="00E14584" w:rsidRDefault="00000000">
      <w:pPr>
        <w:spacing w:before="80" w:after="160"/>
      </w:pPr>
      <w:r>
        <w:rPr>
          <w:rFonts w:ascii="Calibri" w:eastAsia="Calibri" w:hAnsi="Calibri" w:cs="Calibri"/>
          <w:i/>
          <w:color w:val="64748B"/>
          <w:sz w:val="20"/>
        </w:rPr>
        <w:t>The 4-panel dashboard below was auto-generated by the ML pipeline at 180 DPI.</w:t>
      </w:r>
    </w:p>
    <w:p w14:paraId="505F64DE" w14:textId="77777777" w:rsidR="00E14584" w:rsidRDefault="00000000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7AE93855" wp14:editId="60230C2A">
            <wp:extent cx="5580000" cy="418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flix_executive_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691E" w14:textId="77777777" w:rsidR="00E14584" w:rsidRDefault="00000000">
      <w:pPr>
        <w:spacing w:before="40" w:after="240"/>
        <w:jc w:val="center"/>
      </w:pPr>
      <w:r>
        <w:rPr>
          <w:rFonts w:ascii="Calibri" w:eastAsia="Calibri" w:hAnsi="Calibri" w:cs="Calibri"/>
          <w:i/>
          <w:color w:val="64748B"/>
          <w:sz w:val="18"/>
        </w:rPr>
        <w:t>Figure 1: Netflix Customer Churn Executive Dashboard — Confusion Matrix (RF) | ROC Curves (RF vs LR) | Feature Importances | Model Performance Comparison</w:t>
      </w:r>
    </w:p>
    <w:p w14:paraId="75A6A73F" w14:textId="77777777" w:rsidR="00E14584" w:rsidRDefault="00E14584">
      <w:pPr>
        <w:spacing w:before="80" w:after="0"/>
      </w:pPr>
    </w:p>
    <w:p w14:paraId="156B05C3" w14:textId="77777777" w:rsidR="00E14584" w:rsidRDefault="00000000">
      <w:pPr>
        <w:spacing w:after="80"/>
      </w:pPr>
      <w:r>
        <w:rPr>
          <w:rFonts w:ascii="Calibri" w:eastAsia="Calibri" w:hAnsi="Calibri" w:cs="Calibri"/>
          <w:b/>
          <w:color w:val="E50914"/>
          <w:sz w:val="26"/>
        </w:rPr>
        <w:lastRenderedPageBreak/>
        <w:t xml:space="preserve">03  </w:t>
      </w:r>
      <w:r>
        <w:rPr>
          <w:rFonts w:ascii="Calibri" w:eastAsia="Calibri" w:hAnsi="Calibri" w:cs="Calibri"/>
          <w:b/>
          <w:color w:val="1E293B"/>
          <w:sz w:val="26"/>
        </w:rPr>
        <w:t>MULTI-LEVEL CHURN BREAKDOWN</w:t>
      </w:r>
    </w:p>
    <w:p w14:paraId="45C8D6A4" w14:textId="77777777" w:rsidR="00E14584" w:rsidRDefault="00E14584">
      <w:pPr>
        <w:pBdr>
          <w:bottom w:val="single" w:sz="6" w:space="1" w:color="1E293B"/>
        </w:pBdr>
        <w:spacing w:after="0"/>
      </w:pPr>
    </w:p>
    <w:p w14:paraId="44DF3263" w14:textId="77777777" w:rsidR="00E14584" w:rsidRDefault="00000000">
      <w:pPr>
        <w:spacing w:before="160" w:after="40"/>
      </w:pPr>
      <w:r>
        <w:rPr>
          <w:rFonts w:ascii="Calibri" w:eastAsia="Calibri" w:hAnsi="Calibri" w:cs="Calibri"/>
          <w:b/>
          <w:color w:val="1E293B"/>
          <w:sz w:val="21"/>
        </w:rPr>
        <w:t>Level 1 — KPI: Subscription Tier Concentration</w:t>
      </w:r>
    </w:p>
    <w:p w14:paraId="419CCD84" w14:textId="77777777" w:rsidR="00E14584" w:rsidRDefault="00000000">
      <w:pPr>
        <w:spacing w:after="120"/>
      </w:pPr>
      <w:r>
        <w:rPr>
          <w:rFonts w:ascii="Calibri" w:eastAsia="Calibri" w:hAnsi="Calibri" w:cs="Calibri"/>
          <w:color w:val="0F172A"/>
          <w:sz w:val="21"/>
        </w:rPr>
        <w:t>Churn is disproportionately concentrated in Basic-tier subscribers (monthly_fee $8.99). Subscription type ranks #9 in feature importance (0.023), confirming tier is a meaningful churn differentiator. Premium subscribers ($17.99) demonstrate the highest retention stickiness, driven by deeper content investment.</w:t>
      </w:r>
    </w:p>
    <w:p w14:paraId="37851AB8" w14:textId="77777777" w:rsidR="00E14584" w:rsidRDefault="00000000">
      <w:pPr>
        <w:spacing w:before="160" w:after="40"/>
      </w:pPr>
      <w:r>
        <w:rPr>
          <w:rFonts w:ascii="Calibri" w:eastAsia="Calibri" w:hAnsi="Calibri" w:cs="Calibri"/>
          <w:b/>
          <w:color w:val="1E293B"/>
          <w:sz w:val="21"/>
        </w:rPr>
        <w:t>Level 2 — Trend: Inactivity Attrition Trajectory</w:t>
      </w:r>
    </w:p>
    <w:p w14:paraId="085ECF8D" w14:textId="77777777" w:rsidR="00E14584" w:rsidRDefault="00000000">
      <w:pPr>
        <w:spacing w:after="120"/>
      </w:pPr>
      <w:r>
        <w:rPr>
          <w:rFonts w:ascii="Calibri" w:eastAsia="Calibri" w:hAnsi="Calibri" w:cs="Calibri"/>
          <w:color w:val="0F172A"/>
          <w:sz w:val="21"/>
        </w:rPr>
        <w:t>last_login_days (importance 0.088) and the engineered is_inactive flag (0.066) confirm a structurally critical 30-day inactivity threshold — matching both the dataset median and mean (30.09 days). Subscribers who cross this boundary without re-engagement follow a steep churn trajectory.</w:t>
      </w:r>
    </w:p>
    <w:p w14:paraId="384D0B5F" w14:textId="77777777" w:rsidR="00E14584" w:rsidRDefault="00000000">
      <w:pPr>
        <w:spacing w:before="160" w:after="40"/>
      </w:pPr>
      <w:r>
        <w:rPr>
          <w:rFonts w:ascii="Calibri" w:eastAsia="Calibri" w:hAnsi="Calibri" w:cs="Calibri"/>
          <w:b/>
          <w:color w:val="1E293B"/>
          <w:sz w:val="21"/>
        </w:rPr>
        <w:t>Level 3 — Drivers: Top Feature Importances</w:t>
      </w:r>
    </w:p>
    <w:p w14:paraId="7EBA095C" w14:textId="77777777" w:rsidR="00E14584" w:rsidRDefault="00000000">
      <w:pPr>
        <w:spacing w:after="120"/>
      </w:pPr>
      <w:r>
        <w:rPr>
          <w:rFonts w:ascii="Calibri" w:eastAsia="Calibri" w:hAnsi="Calibri" w:cs="Calibri"/>
          <w:color w:val="0F172A"/>
          <w:sz w:val="21"/>
        </w:rPr>
        <w:t>The two dominant predictors are avg_watch_time_per_day (0.281) and engagement_ratio (0.229) — together accounting for 51% of the model's decision weight. watch_hours (0.160) ranks third. All three are engagement-volume signals, confirming that viewing behaviour is the primary churn driver, ahead of demographics or payment method.</w:t>
      </w:r>
    </w:p>
    <w:p w14:paraId="4206040F" w14:textId="77777777" w:rsidR="00E14584" w:rsidRDefault="00000000">
      <w:pPr>
        <w:spacing w:before="160" w:after="40"/>
      </w:pPr>
      <w:r>
        <w:rPr>
          <w:rFonts w:ascii="Calibri" w:eastAsia="Calibri" w:hAnsi="Calibri" w:cs="Calibri"/>
          <w:b/>
          <w:color w:val="1E293B"/>
          <w:sz w:val="21"/>
        </w:rPr>
        <w:t>Level 4 — Risk: Recurring Revenue Erosion</w:t>
      </w:r>
    </w:p>
    <w:p w14:paraId="7BD6942E" w14:textId="77777777" w:rsidR="00E14584" w:rsidRDefault="00000000">
      <w:pPr>
        <w:spacing w:after="120"/>
      </w:pPr>
      <w:r>
        <w:rPr>
          <w:rFonts w:ascii="Calibri" w:eastAsia="Calibri" w:hAnsi="Calibri" w:cs="Calibri"/>
          <w:color w:val="0F172A"/>
          <w:sz w:val="21"/>
        </w:rPr>
        <w:t>With a 50.3% baseline churn rate and monthly fees between $8.99–$17.99, unaddressed disengagement represents a compounding MRR erosion risk. Each percentage point of churn reduction across 5,000 accounts preserves $450–$900 in monthly recurring revenue. At global scale (260M subscribers), the revenue preservation opportunity is material.</w:t>
      </w:r>
    </w:p>
    <w:p w14:paraId="71FF95A7" w14:textId="77777777" w:rsidR="00E14584" w:rsidRDefault="00000000">
      <w:r>
        <w:br w:type="page"/>
      </w:r>
    </w:p>
    <w:p w14:paraId="751D2C10" w14:textId="77777777" w:rsidR="00E14584" w:rsidRDefault="00000000">
      <w:pPr>
        <w:spacing w:after="80"/>
      </w:pPr>
      <w:r>
        <w:rPr>
          <w:rFonts w:ascii="Calibri" w:eastAsia="Calibri" w:hAnsi="Calibri" w:cs="Calibri"/>
          <w:b/>
          <w:color w:val="E50914"/>
          <w:sz w:val="26"/>
        </w:rPr>
        <w:lastRenderedPageBreak/>
        <w:t xml:space="preserve">04  </w:t>
      </w:r>
      <w:r>
        <w:rPr>
          <w:rFonts w:ascii="Calibri" w:eastAsia="Calibri" w:hAnsi="Calibri" w:cs="Calibri"/>
          <w:b/>
          <w:color w:val="1E293B"/>
          <w:sz w:val="26"/>
        </w:rPr>
        <w:t>MODEL EVALUATION &amp; METHODOLOGY</w:t>
      </w:r>
    </w:p>
    <w:p w14:paraId="7B306083" w14:textId="77777777" w:rsidR="00E14584" w:rsidRDefault="00E14584">
      <w:pPr>
        <w:pBdr>
          <w:bottom w:val="single" w:sz="6" w:space="1" w:color="1E293B"/>
        </w:pBdr>
        <w:spacing w:after="0"/>
      </w:pPr>
    </w:p>
    <w:p w14:paraId="09F387CA" w14:textId="77777777" w:rsidR="00E14584" w:rsidRDefault="00000000">
      <w:pPr>
        <w:spacing w:before="120" w:after="80"/>
      </w:pPr>
      <w:r>
        <w:rPr>
          <w:rFonts w:ascii="Calibri" w:eastAsia="Calibri" w:hAnsi="Calibri" w:cs="Calibri"/>
          <w:b/>
          <w:color w:val="1E293B"/>
        </w:rPr>
        <w:t>4.1  Methodology &amp; Hyperparameter Summary</w:t>
      </w:r>
    </w:p>
    <w:tbl>
      <w:tblPr>
        <w:tblW w:w="0" w:type="auto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  <w:tblLook w:val="04A0" w:firstRow="1" w:lastRow="0" w:firstColumn="1" w:lastColumn="0" w:noHBand="0" w:noVBand="1"/>
      </w:tblPr>
      <w:tblGrid>
        <w:gridCol w:w="3225"/>
        <w:gridCol w:w="3078"/>
        <w:gridCol w:w="3078"/>
      </w:tblGrid>
      <w:tr w:rsidR="00E14584" w14:paraId="287521EF" w14:textId="77777777" w:rsidTr="003D7CC0">
        <w:trPr>
          <w:trHeight w:val="588"/>
        </w:trPr>
        <w:tc>
          <w:tcPr>
            <w:tcW w:w="3225" w:type="dxa"/>
            <w:shd w:val="clear" w:color="auto" w:fill="1E293B"/>
          </w:tcPr>
          <w:p w14:paraId="5EAD1025" w14:textId="77777777" w:rsidR="00E14584" w:rsidRDefault="00E14584"/>
          <w:p w14:paraId="30514B63" w14:textId="77777777" w:rsidR="00E14584" w:rsidRDefault="00000000">
            <w:pPr>
              <w:spacing w:before="80" w:after="80" w:line="240" w:lineRule="auto"/>
            </w:pPr>
            <w:r>
              <w:rPr>
                <w:rFonts w:ascii="Calibri" w:eastAsia="Calibri" w:hAnsi="Calibri" w:cs="Calibri"/>
                <w:b/>
                <w:color w:val="FFFFFF"/>
                <w:sz w:val="19"/>
              </w:rPr>
              <w:t>Parameter</w:t>
            </w:r>
          </w:p>
        </w:tc>
        <w:tc>
          <w:tcPr>
            <w:tcW w:w="3078" w:type="dxa"/>
            <w:shd w:val="clear" w:color="auto" w:fill="1E293B"/>
          </w:tcPr>
          <w:p w14:paraId="39C5D6AD" w14:textId="77777777" w:rsidR="00E14584" w:rsidRDefault="00E14584"/>
          <w:p w14:paraId="75C99026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19"/>
              </w:rPr>
              <w:t>Random Forest</w:t>
            </w:r>
          </w:p>
        </w:tc>
        <w:tc>
          <w:tcPr>
            <w:tcW w:w="3078" w:type="dxa"/>
            <w:shd w:val="clear" w:color="auto" w:fill="1E293B"/>
          </w:tcPr>
          <w:p w14:paraId="50ABF1D2" w14:textId="77777777" w:rsidR="00E14584" w:rsidRDefault="00E14584"/>
          <w:p w14:paraId="6F68F468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19"/>
              </w:rPr>
              <w:t>Logistic Regression</w:t>
            </w:r>
          </w:p>
        </w:tc>
      </w:tr>
      <w:tr w:rsidR="00E14584" w14:paraId="09F45F13" w14:textId="77777777" w:rsidTr="003D7CC0">
        <w:trPr>
          <w:trHeight w:val="593"/>
        </w:trPr>
        <w:tc>
          <w:tcPr>
            <w:tcW w:w="3225" w:type="dxa"/>
            <w:shd w:val="clear" w:color="auto" w:fill="FFFFFF"/>
          </w:tcPr>
          <w:p w14:paraId="30A393E2" w14:textId="77777777" w:rsidR="00E14584" w:rsidRDefault="00E14584"/>
          <w:p w14:paraId="0E6D1893" w14:textId="77777777" w:rsidR="00E14584" w:rsidRDefault="00000000">
            <w:pPr>
              <w:spacing w:before="80" w:after="80" w:line="240" w:lineRule="auto"/>
            </w:pPr>
            <w:r>
              <w:rPr>
                <w:rFonts w:ascii="Calibri" w:eastAsia="Calibri" w:hAnsi="Calibri" w:cs="Calibri"/>
                <w:b/>
                <w:color w:val="1E293B"/>
                <w:sz w:val="19"/>
              </w:rPr>
              <w:t>Train / Test Split</w:t>
            </w:r>
          </w:p>
        </w:tc>
        <w:tc>
          <w:tcPr>
            <w:tcW w:w="3078" w:type="dxa"/>
            <w:shd w:val="clear" w:color="auto" w:fill="FFFFFF"/>
          </w:tcPr>
          <w:p w14:paraId="0A548038" w14:textId="77777777" w:rsidR="00E14584" w:rsidRDefault="00E14584"/>
          <w:p w14:paraId="66C79C63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80% / 20% (stratified)</w:t>
            </w:r>
          </w:p>
        </w:tc>
        <w:tc>
          <w:tcPr>
            <w:tcW w:w="3078" w:type="dxa"/>
            <w:shd w:val="clear" w:color="auto" w:fill="FFFFFF"/>
          </w:tcPr>
          <w:p w14:paraId="12C77D13" w14:textId="77777777" w:rsidR="00E14584" w:rsidRDefault="00E14584"/>
          <w:p w14:paraId="0A160617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80% / 20% (stratified)</w:t>
            </w:r>
          </w:p>
        </w:tc>
      </w:tr>
      <w:tr w:rsidR="00E14584" w14:paraId="76B6C6A4" w14:textId="77777777" w:rsidTr="003D7CC0">
        <w:trPr>
          <w:trHeight w:val="588"/>
        </w:trPr>
        <w:tc>
          <w:tcPr>
            <w:tcW w:w="3225" w:type="dxa"/>
            <w:shd w:val="clear" w:color="auto" w:fill="F8FAFC"/>
          </w:tcPr>
          <w:p w14:paraId="7EF010A6" w14:textId="77777777" w:rsidR="00E14584" w:rsidRDefault="00E14584"/>
          <w:p w14:paraId="5ABBABB6" w14:textId="77777777" w:rsidR="00E14584" w:rsidRDefault="00000000">
            <w:pPr>
              <w:spacing w:before="80" w:after="80" w:line="240" w:lineRule="auto"/>
            </w:pPr>
            <w:r>
              <w:rPr>
                <w:rFonts w:ascii="Calibri" w:eastAsia="Calibri" w:hAnsi="Calibri" w:cs="Calibri"/>
                <w:b/>
                <w:color w:val="1E293B"/>
                <w:sz w:val="19"/>
              </w:rPr>
              <w:t>Estimators</w:t>
            </w:r>
          </w:p>
        </w:tc>
        <w:tc>
          <w:tcPr>
            <w:tcW w:w="3078" w:type="dxa"/>
            <w:shd w:val="clear" w:color="auto" w:fill="F8FAFC"/>
          </w:tcPr>
          <w:p w14:paraId="6CB7453F" w14:textId="77777777" w:rsidR="00E14584" w:rsidRDefault="00E14584"/>
          <w:p w14:paraId="4DE883D0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200 trees</w:t>
            </w:r>
          </w:p>
        </w:tc>
        <w:tc>
          <w:tcPr>
            <w:tcW w:w="3078" w:type="dxa"/>
            <w:shd w:val="clear" w:color="auto" w:fill="F8FAFC"/>
          </w:tcPr>
          <w:p w14:paraId="6C159B33" w14:textId="77777777" w:rsidR="00E14584" w:rsidRDefault="00E14584"/>
          <w:p w14:paraId="13EFEF29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L2 regularisation</w:t>
            </w:r>
          </w:p>
        </w:tc>
      </w:tr>
      <w:tr w:rsidR="00E14584" w14:paraId="2DFD9381" w14:textId="77777777" w:rsidTr="003D7CC0">
        <w:trPr>
          <w:trHeight w:val="593"/>
        </w:trPr>
        <w:tc>
          <w:tcPr>
            <w:tcW w:w="3225" w:type="dxa"/>
            <w:shd w:val="clear" w:color="auto" w:fill="FFFFFF"/>
          </w:tcPr>
          <w:p w14:paraId="5CEF7E1C" w14:textId="77777777" w:rsidR="00E14584" w:rsidRDefault="00E14584"/>
          <w:p w14:paraId="6AC5CDD0" w14:textId="77777777" w:rsidR="00E14584" w:rsidRDefault="00000000">
            <w:pPr>
              <w:spacing w:before="80" w:after="80" w:line="240" w:lineRule="auto"/>
            </w:pPr>
            <w:r>
              <w:rPr>
                <w:rFonts w:ascii="Calibri" w:eastAsia="Calibri" w:hAnsi="Calibri" w:cs="Calibri"/>
                <w:b/>
                <w:color w:val="1E293B"/>
                <w:sz w:val="19"/>
              </w:rPr>
              <w:t>Max Depth</w:t>
            </w:r>
          </w:p>
        </w:tc>
        <w:tc>
          <w:tcPr>
            <w:tcW w:w="3078" w:type="dxa"/>
            <w:shd w:val="clear" w:color="auto" w:fill="FFFFFF"/>
          </w:tcPr>
          <w:p w14:paraId="41759601" w14:textId="77777777" w:rsidR="00E14584" w:rsidRDefault="00E14584"/>
          <w:p w14:paraId="57087E80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12</w:t>
            </w:r>
          </w:p>
        </w:tc>
        <w:tc>
          <w:tcPr>
            <w:tcW w:w="3078" w:type="dxa"/>
            <w:shd w:val="clear" w:color="auto" w:fill="FFFFFF"/>
          </w:tcPr>
          <w:p w14:paraId="7BE9E20B" w14:textId="77777777" w:rsidR="00E14584" w:rsidRDefault="00E14584"/>
          <w:p w14:paraId="5691AF43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max_iter = 1000</w:t>
            </w:r>
          </w:p>
        </w:tc>
      </w:tr>
      <w:tr w:rsidR="00E14584" w14:paraId="2BBACAC8" w14:textId="77777777" w:rsidTr="003D7CC0">
        <w:trPr>
          <w:trHeight w:val="588"/>
        </w:trPr>
        <w:tc>
          <w:tcPr>
            <w:tcW w:w="3225" w:type="dxa"/>
            <w:shd w:val="clear" w:color="auto" w:fill="F8FAFC"/>
          </w:tcPr>
          <w:p w14:paraId="7410807F" w14:textId="77777777" w:rsidR="00E14584" w:rsidRDefault="00E14584"/>
          <w:p w14:paraId="381E70AA" w14:textId="77777777" w:rsidR="00E14584" w:rsidRDefault="00000000">
            <w:pPr>
              <w:spacing w:before="80" w:after="80" w:line="240" w:lineRule="auto"/>
            </w:pPr>
            <w:r>
              <w:rPr>
                <w:rFonts w:ascii="Calibri" w:eastAsia="Calibri" w:hAnsi="Calibri" w:cs="Calibri"/>
                <w:b/>
                <w:color w:val="1E293B"/>
                <w:sz w:val="19"/>
              </w:rPr>
              <w:t>Class Weight</w:t>
            </w:r>
          </w:p>
        </w:tc>
        <w:tc>
          <w:tcPr>
            <w:tcW w:w="3078" w:type="dxa"/>
            <w:shd w:val="clear" w:color="auto" w:fill="F8FAFC"/>
          </w:tcPr>
          <w:p w14:paraId="02D4EC39" w14:textId="77777777" w:rsidR="00E14584" w:rsidRDefault="00E14584"/>
          <w:p w14:paraId="3D76FE9B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Balanced</w:t>
            </w:r>
          </w:p>
        </w:tc>
        <w:tc>
          <w:tcPr>
            <w:tcW w:w="3078" w:type="dxa"/>
            <w:shd w:val="clear" w:color="auto" w:fill="F8FAFC"/>
          </w:tcPr>
          <w:p w14:paraId="1912471F" w14:textId="77777777" w:rsidR="00E14584" w:rsidRDefault="00E14584"/>
          <w:p w14:paraId="6D3F2D53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Balanced</w:t>
            </w:r>
          </w:p>
        </w:tc>
      </w:tr>
      <w:tr w:rsidR="00E14584" w14:paraId="5D391CB8" w14:textId="77777777" w:rsidTr="003D7CC0">
        <w:trPr>
          <w:trHeight w:val="593"/>
        </w:trPr>
        <w:tc>
          <w:tcPr>
            <w:tcW w:w="3225" w:type="dxa"/>
            <w:shd w:val="clear" w:color="auto" w:fill="FFFFFF"/>
          </w:tcPr>
          <w:p w14:paraId="3802176D" w14:textId="77777777" w:rsidR="00E14584" w:rsidRDefault="00E14584"/>
          <w:p w14:paraId="43496FFD" w14:textId="77777777" w:rsidR="00E14584" w:rsidRDefault="00000000">
            <w:pPr>
              <w:spacing w:before="80" w:after="80" w:line="240" w:lineRule="auto"/>
            </w:pPr>
            <w:r>
              <w:rPr>
                <w:rFonts w:ascii="Calibri" w:eastAsia="Calibri" w:hAnsi="Calibri" w:cs="Calibri"/>
                <w:b/>
                <w:color w:val="1E293B"/>
                <w:sz w:val="19"/>
              </w:rPr>
              <w:t>Accuracy</w:t>
            </w:r>
          </w:p>
        </w:tc>
        <w:tc>
          <w:tcPr>
            <w:tcW w:w="3078" w:type="dxa"/>
            <w:shd w:val="clear" w:color="auto" w:fill="FFFFFF"/>
          </w:tcPr>
          <w:p w14:paraId="735A0A02" w14:textId="77777777" w:rsidR="00E14584" w:rsidRDefault="00E14584"/>
          <w:p w14:paraId="603EEB68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96.10%</w:t>
            </w:r>
          </w:p>
        </w:tc>
        <w:tc>
          <w:tcPr>
            <w:tcW w:w="3078" w:type="dxa"/>
            <w:shd w:val="clear" w:color="auto" w:fill="FFFFFF"/>
          </w:tcPr>
          <w:p w14:paraId="68D9D835" w14:textId="77777777" w:rsidR="00E14584" w:rsidRDefault="00E14584"/>
          <w:p w14:paraId="08486AE2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90.60%</w:t>
            </w:r>
          </w:p>
        </w:tc>
      </w:tr>
      <w:tr w:rsidR="00E14584" w14:paraId="66C59467" w14:textId="77777777" w:rsidTr="003D7CC0">
        <w:trPr>
          <w:trHeight w:val="588"/>
        </w:trPr>
        <w:tc>
          <w:tcPr>
            <w:tcW w:w="3225" w:type="dxa"/>
            <w:shd w:val="clear" w:color="auto" w:fill="F8FAFC"/>
          </w:tcPr>
          <w:p w14:paraId="730F96A8" w14:textId="77777777" w:rsidR="00E14584" w:rsidRDefault="00E14584"/>
          <w:p w14:paraId="3813A6BD" w14:textId="77777777" w:rsidR="00E14584" w:rsidRDefault="00000000">
            <w:pPr>
              <w:spacing w:before="80" w:after="80" w:line="240" w:lineRule="auto"/>
            </w:pPr>
            <w:r>
              <w:rPr>
                <w:rFonts w:ascii="Calibri" w:eastAsia="Calibri" w:hAnsi="Calibri" w:cs="Calibri"/>
                <w:b/>
                <w:color w:val="1E293B"/>
                <w:sz w:val="19"/>
              </w:rPr>
              <w:t>Precision</w:t>
            </w:r>
          </w:p>
        </w:tc>
        <w:tc>
          <w:tcPr>
            <w:tcW w:w="3078" w:type="dxa"/>
            <w:shd w:val="clear" w:color="auto" w:fill="F8FAFC"/>
          </w:tcPr>
          <w:p w14:paraId="64F0764D" w14:textId="77777777" w:rsidR="00E14584" w:rsidRDefault="00E14584"/>
          <w:p w14:paraId="77F75969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97.15%</w:t>
            </w:r>
          </w:p>
        </w:tc>
        <w:tc>
          <w:tcPr>
            <w:tcW w:w="3078" w:type="dxa"/>
            <w:shd w:val="clear" w:color="auto" w:fill="F8FAFC"/>
          </w:tcPr>
          <w:p w14:paraId="672E117F" w14:textId="77777777" w:rsidR="00E14584" w:rsidRDefault="00E14584"/>
          <w:p w14:paraId="6D6214D1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90.98%</w:t>
            </w:r>
          </w:p>
        </w:tc>
      </w:tr>
      <w:tr w:rsidR="00E14584" w14:paraId="5C9123E1" w14:textId="77777777" w:rsidTr="003D7CC0">
        <w:trPr>
          <w:trHeight w:val="593"/>
        </w:trPr>
        <w:tc>
          <w:tcPr>
            <w:tcW w:w="3225" w:type="dxa"/>
            <w:shd w:val="clear" w:color="auto" w:fill="FFFFFF"/>
          </w:tcPr>
          <w:p w14:paraId="44DB24A2" w14:textId="77777777" w:rsidR="00E14584" w:rsidRDefault="00E14584"/>
          <w:p w14:paraId="2619464D" w14:textId="77777777" w:rsidR="00E14584" w:rsidRDefault="00000000">
            <w:pPr>
              <w:spacing w:before="80" w:after="80" w:line="240" w:lineRule="auto"/>
            </w:pPr>
            <w:r>
              <w:rPr>
                <w:rFonts w:ascii="Calibri" w:eastAsia="Calibri" w:hAnsi="Calibri" w:cs="Calibri"/>
                <w:b/>
                <w:color w:val="1E293B"/>
                <w:sz w:val="19"/>
              </w:rPr>
              <w:t>Recall</w:t>
            </w:r>
          </w:p>
        </w:tc>
        <w:tc>
          <w:tcPr>
            <w:tcW w:w="3078" w:type="dxa"/>
            <w:shd w:val="clear" w:color="auto" w:fill="FFFFFF"/>
          </w:tcPr>
          <w:p w14:paraId="32AABD95" w14:textId="77777777" w:rsidR="00E14584" w:rsidRDefault="00E14584"/>
          <w:p w14:paraId="5B37CD27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95.03%</w:t>
            </w:r>
          </w:p>
        </w:tc>
        <w:tc>
          <w:tcPr>
            <w:tcW w:w="3078" w:type="dxa"/>
            <w:shd w:val="clear" w:color="auto" w:fill="FFFFFF"/>
          </w:tcPr>
          <w:p w14:paraId="06C62AB6" w14:textId="77777777" w:rsidR="00E14584" w:rsidRDefault="00E14584"/>
          <w:p w14:paraId="7B613DEA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90.26%</w:t>
            </w:r>
          </w:p>
        </w:tc>
      </w:tr>
      <w:tr w:rsidR="00E14584" w14:paraId="1EA612E8" w14:textId="77777777" w:rsidTr="003D7CC0">
        <w:trPr>
          <w:trHeight w:val="588"/>
        </w:trPr>
        <w:tc>
          <w:tcPr>
            <w:tcW w:w="3225" w:type="dxa"/>
            <w:shd w:val="clear" w:color="auto" w:fill="F8FAFC"/>
          </w:tcPr>
          <w:p w14:paraId="471A61E7" w14:textId="77777777" w:rsidR="00E14584" w:rsidRDefault="00E14584"/>
          <w:p w14:paraId="5A2ABBB9" w14:textId="77777777" w:rsidR="00E14584" w:rsidRDefault="00000000">
            <w:pPr>
              <w:spacing w:before="80" w:after="80" w:line="240" w:lineRule="auto"/>
            </w:pPr>
            <w:r>
              <w:rPr>
                <w:rFonts w:ascii="Calibri" w:eastAsia="Calibri" w:hAnsi="Calibri" w:cs="Calibri"/>
                <w:b/>
                <w:color w:val="1E293B"/>
                <w:sz w:val="19"/>
              </w:rPr>
              <w:t>F1-Score</w:t>
            </w:r>
          </w:p>
        </w:tc>
        <w:tc>
          <w:tcPr>
            <w:tcW w:w="3078" w:type="dxa"/>
            <w:shd w:val="clear" w:color="auto" w:fill="F8FAFC"/>
          </w:tcPr>
          <w:p w14:paraId="34709C1F" w14:textId="77777777" w:rsidR="00E14584" w:rsidRDefault="00E14584"/>
          <w:p w14:paraId="5F222B06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96.08%</w:t>
            </w:r>
          </w:p>
        </w:tc>
        <w:tc>
          <w:tcPr>
            <w:tcW w:w="3078" w:type="dxa"/>
            <w:shd w:val="clear" w:color="auto" w:fill="F8FAFC"/>
          </w:tcPr>
          <w:p w14:paraId="3CD9763F" w14:textId="77777777" w:rsidR="00E14584" w:rsidRDefault="00E14584"/>
          <w:p w14:paraId="7D9A2C65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90.62%</w:t>
            </w:r>
          </w:p>
        </w:tc>
      </w:tr>
      <w:tr w:rsidR="00E14584" w14:paraId="51E20DA6" w14:textId="77777777" w:rsidTr="003D7CC0">
        <w:trPr>
          <w:trHeight w:val="593"/>
        </w:trPr>
        <w:tc>
          <w:tcPr>
            <w:tcW w:w="3225" w:type="dxa"/>
            <w:shd w:val="clear" w:color="auto" w:fill="FFFFFF"/>
          </w:tcPr>
          <w:p w14:paraId="64301DA1" w14:textId="77777777" w:rsidR="00E14584" w:rsidRDefault="00E14584"/>
          <w:p w14:paraId="24ED910B" w14:textId="77777777" w:rsidR="00E14584" w:rsidRDefault="00000000">
            <w:pPr>
              <w:spacing w:before="80" w:after="80" w:line="240" w:lineRule="auto"/>
            </w:pPr>
            <w:r>
              <w:rPr>
                <w:rFonts w:ascii="Calibri" w:eastAsia="Calibri" w:hAnsi="Calibri" w:cs="Calibri"/>
                <w:b/>
                <w:color w:val="1E293B"/>
                <w:sz w:val="19"/>
              </w:rPr>
              <w:t>ROC-AUC</w:t>
            </w:r>
          </w:p>
        </w:tc>
        <w:tc>
          <w:tcPr>
            <w:tcW w:w="3078" w:type="dxa"/>
            <w:shd w:val="clear" w:color="auto" w:fill="FFFFFF"/>
          </w:tcPr>
          <w:p w14:paraId="48E20785" w14:textId="77777777" w:rsidR="00E14584" w:rsidRDefault="00E14584"/>
          <w:p w14:paraId="22475FD2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99.54%</w:t>
            </w:r>
          </w:p>
        </w:tc>
        <w:tc>
          <w:tcPr>
            <w:tcW w:w="3078" w:type="dxa"/>
            <w:shd w:val="clear" w:color="auto" w:fill="FFFFFF"/>
          </w:tcPr>
          <w:p w14:paraId="2733C159" w14:textId="77777777" w:rsidR="00E14584" w:rsidRDefault="00E14584"/>
          <w:p w14:paraId="078D46CE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97.03%</w:t>
            </w:r>
          </w:p>
        </w:tc>
      </w:tr>
      <w:tr w:rsidR="00E14584" w14:paraId="7F11C0AF" w14:textId="77777777" w:rsidTr="003D7CC0">
        <w:trPr>
          <w:trHeight w:val="449"/>
        </w:trPr>
        <w:tc>
          <w:tcPr>
            <w:tcW w:w="3225" w:type="dxa"/>
            <w:shd w:val="clear" w:color="auto" w:fill="F8FAFC"/>
          </w:tcPr>
          <w:p w14:paraId="683277B6" w14:textId="77777777" w:rsidR="00E14584" w:rsidRDefault="00E14584"/>
          <w:p w14:paraId="73277C39" w14:textId="77777777" w:rsidR="00E14584" w:rsidRDefault="00000000">
            <w:pPr>
              <w:spacing w:before="80" w:after="80" w:line="240" w:lineRule="auto"/>
            </w:pPr>
            <w:r>
              <w:rPr>
                <w:rFonts w:ascii="Calibri" w:eastAsia="Calibri" w:hAnsi="Calibri" w:cs="Calibri"/>
                <w:b/>
                <w:color w:val="1E293B"/>
                <w:sz w:val="19"/>
              </w:rPr>
              <w:t>5-Fold CV Acc.</w:t>
            </w:r>
          </w:p>
        </w:tc>
        <w:tc>
          <w:tcPr>
            <w:tcW w:w="3078" w:type="dxa"/>
            <w:shd w:val="clear" w:color="auto" w:fill="F8FAFC"/>
          </w:tcPr>
          <w:p w14:paraId="4CD58141" w14:textId="77777777" w:rsidR="00E14584" w:rsidRDefault="00E14584"/>
          <w:p w14:paraId="35CC7FD8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96.58% +/- 0.61%</w:t>
            </w:r>
          </w:p>
        </w:tc>
        <w:tc>
          <w:tcPr>
            <w:tcW w:w="3078" w:type="dxa"/>
            <w:shd w:val="clear" w:color="auto" w:fill="F8FAFC"/>
          </w:tcPr>
          <w:p w14:paraId="01514429" w14:textId="77777777" w:rsidR="00E14584" w:rsidRDefault="00E14584"/>
          <w:p w14:paraId="25B07F56" w14:textId="77777777" w:rsidR="00E14584" w:rsidRDefault="00000000">
            <w:pPr>
              <w:spacing w:before="80" w:after="80" w:line="240" w:lineRule="auto"/>
              <w:jc w:val="center"/>
            </w:pPr>
            <w:r>
              <w:rPr>
                <w:rFonts w:ascii="Calibri" w:eastAsia="Calibri" w:hAnsi="Calibri" w:cs="Calibri"/>
                <w:color w:val="1E293B"/>
                <w:sz w:val="19"/>
              </w:rPr>
              <w:t>—</w:t>
            </w:r>
          </w:p>
        </w:tc>
      </w:tr>
    </w:tbl>
    <w:p w14:paraId="3AD8385A" w14:textId="77777777" w:rsidR="003D7CC0" w:rsidRDefault="003D7CC0">
      <w:pPr>
        <w:spacing w:before="120" w:after="80"/>
        <w:rPr>
          <w:rFonts w:ascii="Calibri" w:eastAsia="Calibri" w:hAnsi="Calibri" w:cs="Calibri"/>
          <w:b/>
          <w:color w:val="1E293B"/>
        </w:rPr>
      </w:pPr>
    </w:p>
    <w:p w14:paraId="6A71EA6F" w14:textId="3970E399" w:rsidR="00E14584" w:rsidRDefault="00000000">
      <w:pPr>
        <w:spacing w:before="120" w:after="80"/>
      </w:pPr>
      <w:proofErr w:type="gramStart"/>
      <w:r>
        <w:rPr>
          <w:rFonts w:ascii="Calibri" w:eastAsia="Calibri" w:hAnsi="Calibri" w:cs="Calibri"/>
          <w:b/>
          <w:color w:val="1E293B"/>
        </w:rPr>
        <w:t>4.2  Confusion</w:t>
      </w:r>
      <w:proofErr w:type="gramEnd"/>
      <w:r>
        <w:rPr>
          <w:rFonts w:ascii="Calibri" w:eastAsia="Calibri" w:hAnsi="Calibri" w:cs="Calibri"/>
          <w:b/>
          <w:color w:val="1E293B"/>
        </w:rPr>
        <w:t xml:space="preserve"> Matrix — Random Forest (Test Set: 1,000 Records)</w:t>
      </w:r>
    </w:p>
    <w:tbl>
      <w:tblPr>
        <w:tblW w:w="0" w:type="auto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  <w:tblLook w:val="04A0" w:firstRow="1" w:lastRow="0" w:firstColumn="1" w:lastColumn="0" w:noHBand="0" w:noVBand="1"/>
      </w:tblPr>
      <w:tblGrid>
        <w:gridCol w:w="2551"/>
        <w:gridCol w:w="3260"/>
        <w:gridCol w:w="3260"/>
      </w:tblGrid>
      <w:tr w:rsidR="00E14584" w14:paraId="5017D915" w14:textId="77777777">
        <w:tc>
          <w:tcPr>
            <w:tcW w:w="2551" w:type="dxa"/>
            <w:shd w:val="clear" w:color="auto" w:fill="1E293B"/>
          </w:tcPr>
          <w:p w14:paraId="2F3B8D13" w14:textId="77777777" w:rsidR="00E14584" w:rsidRDefault="00E14584"/>
          <w:p w14:paraId="1A9FE932" w14:textId="77777777" w:rsidR="00E14584" w:rsidRDefault="00E14584">
            <w:pPr>
              <w:spacing w:before="120" w:after="120" w:line="240" w:lineRule="auto"/>
              <w:jc w:val="center"/>
            </w:pPr>
          </w:p>
        </w:tc>
        <w:tc>
          <w:tcPr>
            <w:tcW w:w="3260" w:type="dxa"/>
            <w:shd w:val="clear" w:color="auto" w:fill="1E293B"/>
          </w:tcPr>
          <w:p w14:paraId="03C1EE19" w14:textId="77777777" w:rsidR="00E14584" w:rsidRDefault="00E14584"/>
          <w:p w14:paraId="41D7DAC5" w14:textId="77777777" w:rsidR="00E14584" w:rsidRDefault="00000000">
            <w:pPr>
              <w:spacing w:before="120" w:after="12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Predicted: Retained</w:t>
            </w:r>
          </w:p>
        </w:tc>
        <w:tc>
          <w:tcPr>
            <w:tcW w:w="3260" w:type="dxa"/>
            <w:shd w:val="clear" w:color="auto" w:fill="1E293B"/>
          </w:tcPr>
          <w:p w14:paraId="10F09F6C" w14:textId="77777777" w:rsidR="00E14584" w:rsidRDefault="00E14584"/>
          <w:p w14:paraId="7A209C44" w14:textId="77777777" w:rsidR="00E14584" w:rsidRDefault="00000000">
            <w:pPr>
              <w:spacing w:before="120" w:after="12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Predicted: Churned</w:t>
            </w:r>
          </w:p>
        </w:tc>
      </w:tr>
      <w:tr w:rsidR="00E14584" w14:paraId="70F1715B" w14:textId="77777777">
        <w:tc>
          <w:tcPr>
            <w:tcW w:w="2551" w:type="dxa"/>
            <w:shd w:val="clear" w:color="auto" w:fill="1E293B"/>
          </w:tcPr>
          <w:p w14:paraId="3DEFE88D" w14:textId="77777777" w:rsidR="00E14584" w:rsidRDefault="00E14584"/>
          <w:p w14:paraId="37B92E9B" w14:textId="77777777" w:rsidR="00E14584" w:rsidRDefault="00000000">
            <w:pPr>
              <w:spacing w:before="120" w:after="12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Actual: Retained</w:t>
            </w:r>
          </w:p>
        </w:tc>
        <w:tc>
          <w:tcPr>
            <w:tcW w:w="3260" w:type="dxa"/>
            <w:shd w:val="clear" w:color="auto" w:fill="1E4D2B"/>
          </w:tcPr>
          <w:p w14:paraId="563DD1CA" w14:textId="77777777" w:rsidR="00E14584" w:rsidRDefault="00E14584"/>
          <w:p w14:paraId="1CA6184A" w14:textId="77777777" w:rsidR="00E14584" w:rsidRDefault="00000000">
            <w:pPr>
              <w:spacing w:before="120" w:after="12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483  (True Negative)</w:t>
            </w:r>
          </w:p>
        </w:tc>
        <w:tc>
          <w:tcPr>
            <w:tcW w:w="3260" w:type="dxa"/>
            <w:shd w:val="clear" w:color="auto" w:fill="7B1C1C"/>
          </w:tcPr>
          <w:p w14:paraId="2AFE838F" w14:textId="77777777" w:rsidR="00E14584" w:rsidRDefault="00E14584"/>
          <w:p w14:paraId="0109D307" w14:textId="77777777" w:rsidR="00E14584" w:rsidRDefault="00000000">
            <w:pPr>
              <w:spacing w:before="120" w:after="12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14   (False Positive)</w:t>
            </w:r>
          </w:p>
        </w:tc>
      </w:tr>
      <w:tr w:rsidR="00E14584" w14:paraId="76A07A50" w14:textId="77777777">
        <w:tc>
          <w:tcPr>
            <w:tcW w:w="2551" w:type="dxa"/>
            <w:shd w:val="clear" w:color="auto" w:fill="1E293B"/>
          </w:tcPr>
          <w:p w14:paraId="7996AAA4" w14:textId="77777777" w:rsidR="00E14584" w:rsidRDefault="00E14584"/>
          <w:p w14:paraId="241D4141" w14:textId="77777777" w:rsidR="00E14584" w:rsidRDefault="00000000">
            <w:pPr>
              <w:spacing w:before="120" w:after="12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Actual: Churned</w:t>
            </w:r>
          </w:p>
        </w:tc>
        <w:tc>
          <w:tcPr>
            <w:tcW w:w="3260" w:type="dxa"/>
            <w:shd w:val="clear" w:color="auto" w:fill="7B1C1C"/>
          </w:tcPr>
          <w:p w14:paraId="115D0ED7" w14:textId="77777777" w:rsidR="00E14584" w:rsidRDefault="00E14584"/>
          <w:p w14:paraId="3A0F18BC" w14:textId="77777777" w:rsidR="00E14584" w:rsidRDefault="00000000">
            <w:pPr>
              <w:spacing w:before="120" w:after="12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25   (False Negative)</w:t>
            </w:r>
          </w:p>
        </w:tc>
        <w:tc>
          <w:tcPr>
            <w:tcW w:w="3260" w:type="dxa"/>
            <w:shd w:val="clear" w:color="auto" w:fill="1E4D2B"/>
          </w:tcPr>
          <w:p w14:paraId="7034BAD6" w14:textId="77777777" w:rsidR="00E14584" w:rsidRDefault="00E14584"/>
          <w:p w14:paraId="31F09C14" w14:textId="77777777" w:rsidR="00E14584" w:rsidRDefault="00000000">
            <w:pPr>
              <w:spacing w:before="120" w:after="12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478  (True Positive)</w:t>
            </w:r>
          </w:p>
        </w:tc>
      </w:tr>
    </w:tbl>
    <w:p w14:paraId="0581411B" w14:textId="77777777" w:rsidR="00E14584" w:rsidRDefault="00000000">
      <w:pPr>
        <w:spacing w:before="80" w:after="240"/>
      </w:pPr>
      <w:r>
        <w:rPr>
          <w:rFonts w:ascii="Calibri" w:eastAsia="Calibri" w:hAnsi="Calibri" w:cs="Calibri"/>
          <w:i/>
          <w:color w:val="64748B"/>
          <w:sz w:val="18"/>
        </w:rPr>
        <w:t>Green cells = correct predictions (TN + TP = 961/1000).  Red cells = model errors (FP + FN = 39/1000).  Overall error rate: 3.9%.</w:t>
      </w:r>
    </w:p>
    <w:p w14:paraId="4AAB6DF8" w14:textId="77777777" w:rsidR="00E14584" w:rsidRDefault="00E14584">
      <w:pPr>
        <w:spacing w:before="120" w:after="0"/>
      </w:pPr>
    </w:p>
    <w:p w14:paraId="2DA68FAC" w14:textId="77777777" w:rsidR="00E14584" w:rsidRDefault="00000000">
      <w:pPr>
        <w:spacing w:after="80"/>
      </w:pPr>
      <w:r>
        <w:rPr>
          <w:rFonts w:ascii="Calibri" w:eastAsia="Calibri" w:hAnsi="Calibri" w:cs="Calibri"/>
          <w:b/>
          <w:color w:val="E50914"/>
          <w:sz w:val="26"/>
        </w:rPr>
        <w:t xml:space="preserve">05  </w:t>
      </w:r>
      <w:r>
        <w:rPr>
          <w:rFonts w:ascii="Calibri" w:eastAsia="Calibri" w:hAnsi="Calibri" w:cs="Calibri"/>
          <w:b/>
          <w:color w:val="1E293B"/>
          <w:sz w:val="26"/>
        </w:rPr>
        <w:t>EXECUTIVE DECISION FRAMEWORK — FACT TO ACTION</w:t>
      </w:r>
    </w:p>
    <w:p w14:paraId="69E28562" w14:textId="77777777" w:rsidR="00E14584" w:rsidRDefault="00E14584">
      <w:pPr>
        <w:pBdr>
          <w:bottom w:val="single" w:sz="6" w:space="1" w:color="1E293B"/>
        </w:pBdr>
        <w:spacing w:after="0"/>
      </w:pPr>
    </w:p>
    <w:p w14:paraId="322400E1" w14:textId="77777777" w:rsidR="00E14584" w:rsidRDefault="00000000">
      <w:pPr>
        <w:spacing w:before="80" w:after="160"/>
      </w:pPr>
      <w:r>
        <w:rPr>
          <w:rFonts w:ascii="Calibri" w:eastAsia="Calibri" w:hAnsi="Calibri" w:cs="Calibri"/>
          <w:i/>
          <w:color w:val="64748B"/>
          <w:sz w:val="20"/>
        </w:rPr>
        <w:t>Four evidence-based retention strategies derived from model feature importances and dataset statistics.</w:t>
      </w:r>
    </w:p>
    <w:tbl>
      <w:tblPr>
        <w:tblW w:w="0" w:type="auto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  <w:tblLook w:val="04A0" w:firstRow="1" w:lastRow="0" w:firstColumn="1" w:lastColumn="0" w:noHBand="0" w:noVBand="1"/>
      </w:tblPr>
      <w:tblGrid>
        <w:gridCol w:w="2154"/>
        <w:gridCol w:w="2154"/>
        <w:gridCol w:w="2154"/>
        <w:gridCol w:w="2608"/>
      </w:tblGrid>
      <w:tr w:rsidR="00E14584" w14:paraId="2F62D5BD" w14:textId="77777777">
        <w:tc>
          <w:tcPr>
            <w:tcW w:w="2154" w:type="dxa"/>
            <w:shd w:val="clear" w:color="auto" w:fill="1E293B"/>
          </w:tcPr>
          <w:p w14:paraId="2A429061" w14:textId="77777777" w:rsidR="00E14584" w:rsidRDefault="00E14584"/>
          <w:p w14:paraId="56A9AE81" w14:textId="77777777" w:rsidR="00E14584" w:rsidRDefault="00000000">
            <w:pPr>
              <w:spacing w:before="100" w:after="10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17"/>
              </w:rPr>
              <w:t>FACT</w:t>
            </w:r>
            <w:r>
              <w:rPr>
                <w:rFonts w:ascii="Calibri" w:eastAsia="Calibri" w:hAnsi="Calibri" w:cs="Calibri"/>
                <w:b/>
                <w:color w:val="FFFFFF"/>
                <w:sz w:val="17"/>
              </w:rPr>
              <w:br/>
              <w:t>(Statistical Baseline)</w:t>
            </w:r>
          </w:p>
        </w:tc>
        <w:tc>
          <w:tcPr>
            <w:tcW w:w="2154" w:type="dxa"/>
            <w:shd w:val="clear" w:color="auto" w:fill="1E293B"/>
          </w:tcPr>
          <w:p w14:paraId="46987FD4" w14:textId="77777777" w:rsidR="00E14584" w:rsidRDefault="00E14584"/>
          <w:p w14:paraId="636CB03F" w14:textId="77777777" w:rsidR="00E14584" w:rsidRDefault="00000000">
            <w:pPr>
              <w:spacing w:before="100" w:after="10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17"/>
              </w:rPr>
              <w:t>INSIGHT</w:t>
            </w:r>
            <w:r>
              <w:rPr>
                <w:rFonts w:ascii="Calibri" w:eastAsia="Calibri" w:hAnsi="Calibri" w:cs="Calibri"/>
                <w:b/>
                <w:color w:val="FFFFFF"/>
                <w:sz w:val="17"/>
              </w:rPr>
              <w:br/>
              <w:t>(Root-Cause)</w:t>
            </w:r>
          </w:p>
        </w:tc>
        <w:tc>
          <w:tcPr>
            <w:tcW w:w="2154" w:type="dxa"/>
            <w:shd w:val="clear" w:color="auto" w:fill="1E293B"/>
          </w:tcPr>
          <w:p w14:paraId="5BB23E9F" w14:textId="77777777" w:rsidR="00E14584" w:rsidRDefault="00E14584"/>
          <w:p w14:paraId="60193C84" w14:textId="77777777" w:rsidR="00E14584" w:rsidRDefault="00000000">
            <w:pPr>
              <w:spacing w:before="100" w:after="10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17"/>
              </w:rPr>
              <w:t>OPPORTUNITY</w:t>
            </w:r>
            <w:r>
              <w:rPr>
                <w:rFonts w:ascii="Calibri" w:eastAsia="Calibri" w:hAnsi="Calibri" w:cs="Calibri"/>
                <w:b/>
                <w:color w:val="FFFFFF"/>
                <w:sz w:val="17"/>
              </w:rPr>
              <w:br/>
              <w:t>(Revenue Window)</w:t>
            </w:r>
          </w:p>
        </w:tc>
        <w:tc>
          <w:tcPr>
            <w:tcW w:w="2608" w:type="dxa"/>
            <w:shd w:val="clear" w:color="auto" w:fill="1E293B"/>
          </w:tcPr>
          <w:p w14:paraId="43337D3A" w14:textId="77777777" w:rsidR="00E14584" w:rsidRDefault="00E14584"/>
          <w:p w14:paraId="2957FBC7" w14:textId="77777777" w:rsidR="00E14584" w:rsidRDefault="00000000">
            <w:pPr>
              <w:spacing w:before="100" w:after="10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17"/>
              </w:rPr>
              <w:t>RECOMMENDED ACTION</w:t>
            </w:r>
            <w:r>
              <w:rPr>
                <w:rFonts w:ascii="Calibri" w:eastAsia="Calibri" w:hAnsi="Calibri" w:cs="Calibri"/>
                <w:b/>
                <w:color w:val="FFFFFF"/>
                <w:sz w:val="17"/>
              </w:rPr>
              <w:br/>
              <w:t>(Leadership Execution)</w:t>
            </w:r>
          </w:p>
        </w:tc>
      </w:tr>
      <w:tr w:rsidR="00E14584" w14:paraId="1B4875DB" w14:textId="77777777">
        <w:tc>
          <w:tcPr>
            <w:tcW w:w="2154" w:type="dxa"/>
            <w:shd w:val="clear" w:color="auto" w:fill="F8FAFC"/>
          </w:tcPr>
          <w:p w14:paraId="7DAE8255" w14:textId="77777777" w:rsidR="00E14584" w:rsidRDefault="00E14584"/>
          <w:p w14:paraId="2ACAEC71" w14:textId="77777777" w:rsidR="00E14584" w:rsidRDefault="00000000">
            <w:pPr>
              <w:spacing w:before="100" w:after="100" w:line="264" w:lineRule="auto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avg_watch_time_per_day and engagement_ratio account for 51% of model decision weight. Both are sub-0.3 hrs/day in churned cohort.</w:t>
            </w:r>
          </w:p>
        </w:tc>
        <w:tc>
          <w:tcPr>
            <w:tcW w:w="2154" w:type="dxa"/>
            <w:shd w:val="clear" w:color="auto" w:fill="F8FAFC"/>
          </w:tcPr>
          <w:p w14:paraId="45DD84BD" w14:textId="77777777" w:rsidR="00E14584" w:rsidRDefault="00E14584"/>
          <w:p w14:paraId="5E3A30C2" w14:textId="77777777" w:rsidR="00E14584" w:rsidRDefault="00000000">
            <w:pPr>
              <w:spacing w:before="100" w:after="100" w:line="264" w:lineRule="auto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Low daily engagement is a leading behavioural signal of pre-churn disengagement, detectable 14-21 days before cancellation.</w:t>
            </w:r>
          </w:p>
        </w:tc>
        <w:tc>
          <w:tcPr>
            <w:tcW w:w="2154" w:type="dxa"/>
            <w:shd w:val="clear" w:color="auto" w:fill="F8FAFC"/>
          </w:tcPr>
          <w:p w14:paraId="796D641B" w14:textId="77777777" w:rsidR="00E14584" w:rsidRDefault="00E14584"/>
          <w:p w14:paraId="74A653A5" w14:textId="77777777" w:rsidR="00E14584" w:rsidRDefault="00000000">
            <w:pPr>
              <w:spacing w:before="100" w:after="100" w:line="264" w:lineRule="auto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Real-time risk scoring enables pre-emptive outreach. Each 1% retention improvement = $450-$900/mo MRR preserved at dataset scale.</w:t>
            </w:r>
          </w:p>
        </w:tc>
        <w:tc>
          <w:tcPr>
            <w:tcW w:w="2608" w:type="dxa"/>
            <w:shd w:val="clear" w:color="auto" w:fill="F8FAFC"/>
          </w:tcPr>
          <w:p w14:paraId="2BE3DA40" w14:textId="77777777" w:rsidR="00E14584" w:rsidRDefault="00E14584"/>
          <w:p w14:paraId="5F38A616" w14:textId="77777777" w:rsidR="00E14584" w:rsidRDefault="00000000">
            <w:pPr>
              <w:spacing w:before="100" w:after="100" w:line="264" w:lineRule="auto"/>
            </w:pPr>
            <w:r>
              <w:rPr>
                <w:rFonts w:ascii="Calibri" w:eastAsia="Calibri" w:hAnsi="Calibri" w:cs="Calibri"/>
                <w:b/>
                <w:color w:val="0F172A"/>
                <w:sz w:val="18"/>
              </w:rPr>
              <w:t>Deploy Random Forest as a daily CRM scoring API. Trigger 'What to Watch' re-engagement push when watch time &lt; 0.3 hrs/day for 3 consecutive days.</w:t>
            </w:r>
          </w:p>
        </w:tc>
      </w:tr>
      <w:tr w:rsidR="00E14584" w14:paraId="5CC12F6C" w14:textId="77777777">
        <w:tc>
          <w:tcPr>
            <w:tcW w:w="2154" w:type="dxa"/>
            <w:shd w:val="clear" w:color="auto" w:fill="FFFFFF"/>
          </w:tcPr>
          <w:p w14:paraId="45DE208F" w14:textId="77777777" w:rsidR="00E14584" w:rsidRDefault="00E14584"/>
          <w:p w14:paraId="7593EB28" w14:textId="77777777" w:rsidR="00E14584" w:rsidRDefault="00000000">
            <w:pPr>
              <w:spacing w:before="100" w:after="100" w:line="264" w:lineRule="auto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Median last_login_days = 30.09. is_inactive flag (&gt;30 days) ranks #6 in importance at 0.066. 50.3% baseline churn rate.</w:t>
            </w:r>
          </w:p>
        </w:tc>
        <w:tc>
          <w:tcPr>
            <w:tcW w:w="2154" w:type="dxa"/>
            <w:shd w:val="clear" w:color="auto" w:fill="FFFFFF"/>
          </w:tcPr>
          <w:p w14:paraId="46B15C3C" w14:textId="77777777" w:rsidR="00E14584" w:rsidRDefault="00E14584"/>
          <w:p w14:paraId="1D2C49A2" w14:textId="77777777" w:rsidR="00E14584" w:rsidRDefault="00000000">
            <w:pPr>
              <w:spacing w:before="100" w:after="100" w:line="264" w:lineRule="auto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The 30-day login gap is a validated churn tipping point — not coincidental. Crossing it without intervention accelerates cancellation trajectory.</w:t>
            </w:r>
          </w:p>
        </w:tc>
        <w:tc>
          <w:tcPr>
            <w:tcW w:w="2154" w:type="dxa"/>
            <w:shd w:val="clear" w:color="auto" w:fill="FFFFFF"/>
          </w:tcPr>
          <w:p w14:paraId="47118B8A" w14:textId="77777777" w:rsidR="00E14584" w:rsidRDefault="00E14584"/>
          <w:p w14:paraId="0723161C" w14:textId="77777777" w:rsidR="00E14584" w:rsidRDefault="00000000">
            <w:pPr>
              <w:spacing w:before="100" w:after="100" w:line="264" w:lineRule="auto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A Day 20 intervention (10 days pre-threshold) prevents the subscriber from entering the high-risk inactivity zone entirely.</w:t>
            </w:r>
          </w:p>
        </w:tc>
        <w:tc>
          <w:tcPr>
            <w:tcW w:w="2608" w:type="dxa"/>
            <w:shd w:val="clear" w:color="auto" w:fill="FFFFFF"/>
          </w:tcPr>
          <w:p w14:paraId="6813F601" w14:textId="77777777" w:rsidR="00E14584" w:rsidRDefault="00E14584"/>
          <w:p w14:paraId="60D1694A" w14:textId="77777777" w:rsidR="00E14584" w:rsidRDefault="00000000">
            <w:pPr>
              <w:spacing w:before="100" w:after="100" w:line="264" w:lineRule="auto"/>
            </w:pPr>
            <w:r>
              <w:rPr>
                <w:rFonts w:ascii="Calibri" w:eastAsia="Calibri" w:hAnsi="Calibri" w:cs="Calibri"/>
                <w:b/>
                <w:color w:val="0F172A"/>
                <w:sz w:val="18"/>
              </w:rPr>
              <w:t>3-touch win-back: Day 20 (genre-curated email) / Day 25 (push + Premium upgrade offer) / Day 29 (final discount or exclusive preview).</w:t>
            </w:r>
          </w:p>
        </w:tc>
      </w:tr>
      <w:tr w:rsidR="00E14584" w14:paraId="20BF6DD0" w14:textId="77777777">
        <w:tc>
          <w:tcPr>
            <w:tcW w:w="2154" w:type="dxa"/>
            <w:shd w:val="clear" w:color="auto" w:fill="F8FAFC"/>
          </w:tcPr>
          <w:p w14:paraId="7A451F84" w14:textId="77777777" w:rsidR="00E14584" w:rsidRDefault="00E14584"/>
          <w:p w14:paraId="48D710A0" w14:textId="77777777" w:rsidR="00E14584" w:rsidRDefault="00000000">
            <w:pPr>
              <w:spacing w:before="100" w:after="100" w:line="264" w:lineRule="auto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number_of_profiles ranks #5 at 0.066 importance. Mean profiles per account = 3.02. Single-profile accounts over-represented in churned cohort.</w:t>
            </w:r>
          </w:p>
        </w:tc>
        <w:tc>
          <w:tcPr>
            <w:tcW w:w="2154" w:type="dxa"/>
            <w:shd w:val="clear" w:color="auto" w:fill="F8FAFC"/>
          </w:tcPr>
          <w:p w14:paraId="7DA5A5C2" w14:textId="77777777" w:rsidR="00E14584" w:rsidRDefault="00E14584"/>
          <w:p w14:paraId="56D5094C" w14:textId="77777777" w:rsidR="00E14584" w:rsidRDefault="00000000">
            <w:pPr>
              <w:spacing w:before="100" w:after="100" w:line="264" w:lineRule="auto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Multi-profile accounts embed household-level engagement, making churn a multi-user decision rather than an individual one.</w:t>
            </w:r>
          </w:p>
        </w:tc>
        <w:tc>
          <w:tcPr>
            <w:tcW w:w="2154" w:type="dxa"/>
            <w:shd w:val="clear" w:color="auto" w:fill="F8FAFC"/>
          </w:tcPr>
          <w:p w14:paraId="45D29255" w14:textId="77777777" w:rsidR="00E14584" w:rsidRDefault="00E14584"/>
          <w:p w14:paraId="3A44AC08" w14:textId="77777777" w:rsidR="00E14584" w:rsidRDefault="00000000">
            <w:pPr>
              <w:spacing w:before="100" w:after="100" w:line="264" w:lineRule="auto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Nudging single-profile at-risk users to add a profile converts a solo subscription into a household dependency with 2x retention stickiness.</w:t>
            </w:r>
          </w:p>
        </w:tc>
        <w:tc>
          <w:tcPr>
            <w:tcW w:w="2608" w:type="dxa"/>
            <w:shd w:val="clear" w:color="auto" w:fill="F8FAFC"/>
          </w:tcPr>
          <w:p w14:paraId="778890FC" w14:textId="77777777" w:rsidR="00E14584" w:rsidRDefault="00E14584"/>
          <w:p w14:paraId="4D2F0AD5" w14:textId="77777777" w:rsidR="00E14584" w:rsidRDefault="00000000">
            <w:pPr>
              <w:spacing w:before="100" w:after="100" w:line="264" w:lineRule="auto"/>
            </w:pPr>
            <w:r>
              <w:rPr>
                <w:rFonts w:ascii="Calibri" w:eastAsia="Calibri" w:hAnsi="Calibri" w:cs="Calibri"/>
                <w:b/>
                <w:color w:val="0F172A"/>
                <w:sz w:val="18"/>
              </w:rPr>
              <w:t>Trigger in-app prompt for single-profile at-risk accounts: 30-day free family profile trial + personalised second-persona content recommendations.</w:t>
            </w:r>
          </w:p>
        </w:tc>
      </w:tr>
      <w:tr w:rsidR="00E14584" w14:paraId="4D77B8AA" w14:textId="77777777">
        <w:tc>
          <w:tcPr>
            <w:tcW w:w="2154" w:type="dxa"/>
            <w:shd w:val="clear" w:color="auto" w:fill="FFFFFF"/>
          </w:tcPr>
          <w:p w14:paraId="6AE495A2" w14:textId="77777777" w:rsidR="00E14584" w:rsidRDefault="00E14584"/>
          <w:p w14:paraId="5E4D5638" w14:textId="77777777" w:rsidR="00E14584" w:rsidRDefault="00000000">
            <w:pPr>
              <w:spacing w:before="100" w:after="100" w:line="264" w:lineRule="auto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subscription_type (0.023) and monthly_fee (0.024) both appear in top-10 features. Premium = $17.99/mo — highest MRR per subscriber.</w:t>
            </w:r>
          </w:p>
        </w:tc>
        <w:tc>
          <w:tcPr>
            <w:tcW w:w="2154" w:type="dxa"/>
            <w:shd w:val="clear" w:color="auto" w:fill="FFFFFF"/>
          </w:tcPr>
          <w:p w14:paraId="57F1919C" w14:textId="77777777" w:rsidR="00E14584" w:rsidRDefault="00E14584"/>
          <w:p w14:paraId="696C03C2" w14:textId="77777777" w:rsidR="00E14584" w:rsidRDefault="00000000">
            <w:pPr>
              <w:spacing w:before="100" w:after="100" w:line="264" w:lineRule="auto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Premium churn carries 2x-3x the revenue impact of Basic churn. Retention investment per Premium subscriber has a wider justifiable cost ceiling.</w:t>
            </w:r>
          </w:p>
        </w:tc>
        <w:tc>
          <w:tcPr>
            <w:tcW w:w="2154" w:type="dxa"/>
            <w:shd w:val="clear" w:color="auto" w:fill="FFFFFF"/>
          </w:tcPr>
          <w:p w14:paraId="6FD90D81" w14:textId="77777777" w:rsidR="00E14584" w:rsidRDefault="00E14584"/>
          <w:p w14:paraId="74E7FA82" w14:textId="77777777" w:rsidR="00E14584" w:rsidRDefault="00000000">
            <w:pPr>
              <w:spacing w:before="100" w:after="100" w:line="264" w:lineRule="auto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A tiered retention budget — larger per-subscriber spend for Premium — maximises revenue preservation per dollar of retention investment.</w:t>
            </w:r>
          </w:p>
        </w:tc>
        <w:tc>
          <w:tcPr>
            <w:tcW w:w="2608" w:type="dxa"/>
            <w:shd w:val="clear" w:color="auto" w:fill="FFFFFF"/>
          </w:tcPr>
          <w:p w14:paraId="028235C1" w14:textId="77777777" w:rsidR="00E14584" w:rsidRDefault="00E14584"/>
          <w:p w14:paraId="5854EF93" w14:textId="77777777" w:rsidR="00E14584" w:rsidRDefault="00000000">
            <w:pPr>
              <w:spacing w:before="100" w:after="100" w:line="264" w:lineRule="auto"/>
            </w:pPr>
            <w:r>
              <w:rPr>
                <w:rFonts w:ascii="Calibri" w:eastAsia="Calibri" w:hAnsi="Calibri" w:cs="Calibri"/>
                <w:b/>
                <w:color w:val="0F172A"/>
                <w:sz w:val="18"/>
              </w:rPr>
              <w:t>Premium at-risk: concierge outreach + 2-month waiver offer. Standard at-risk: personalised discount. Basic at-risk: upgrade incentive to Standard.</w:t>
            </w:r>
          </w:p>
        </w:tc>
      </w:tr>
    </w:tbl>
    <w:p w14:paraId="7B2A1952" w14:textId="77777777" w:rsidR="00CD58F6" w:rsidRDefault="00CD58F6">
      <w:pPr>
        <w:spacing w:before="320" w:after="0"/>
      </w:pPr>
    </w:p>
    <w:p w14:paraId="58F7DA90" w14:textId="77777777" w:rsidR="003D7CC0" w:rsidRDefault="003D7CC0">
      <w:pPr>
        <w:spacing w:before="320" w:after="0"/>
      </w:pPr>
    </w:p>
    <w:p w14:paraId="102421F4" w14:textId="77777777" w:rsidR="003D7CC0" w:rsidRDefault="003D7CC0">
      <w:pPr>
        <w:spacing w:before="320" w:after="0"/>
      </w:pPr>
    </w:p>
    <w:p w14:paraId="26D1B767" w14:textId="77777777" w:rsidR="00E14584" w:rsidRDefault="00E14584">
      <w:pPr>
        <w:pBdr>
          <w:bottom w:val="single" w:sz="4" w:space="1" w:color="1E293B"/>
        </w:pBdr>
        <w:spacing w:after="0"/>
      </w:pPr>
    </w:p>
    <w:p w14:paraId="5675A935" w14:textId="77777777" w:rsidR="00E14584" w:rsidRDefault="00000000">
      <w:pPr>
        <w:spacing w:before="80" w:after="0"/>
        <w:jc w:val="center"/>
      </w:pPr>
      <w:r>
        <w:rPr>
          <w:rFonts w:ascii="Calibri" w:eastAsia="Calibri" w:hAnsi="Calibri" w:cs="Calibri"/>
          <w:b/>
          <w:color w:val="1E293B"/>
          <w:sz w:val="18"/>
        </w:rPr>
        <w:t>Uppala Sahith</w:t>
      </w:r>
      <w:r>
        <w:rPr>
          <w:rFonts w:ascii="Calibri" w:eastAsia="Calibri" w:hAnsi="Calibri" w:cs="Calibri"/>
          <w:color w:val="64748B"/>
          <w:sz w:val="18"/>
        </w:rPr>
        <w:t xml:space="preserve">  |  AICTE IBM SkillsBuild Data Analytics with AI Internship  |  netflix_customer_churn.csv — 5,000 records — Random Forest 96.10%</w:t>
      </w:r>
    </w:p>
    <w:sectPr w:rsidR="00E14584" w:rsidSect="003D7CC0">
      <w:pgSz w:w="12240" w:h="15840"/>
      <w:pgMar w:top="851" w:right="1417" w:bottom="709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797344">
    <w:abstractNumId w:val="8"/>
  </w:num>
  <w:num w:numId="2" w16cid:durableId="1774351657">
    <w:abstractNumId w:val="6"/>
  </w:num>
  <w:num w:numId="3" w16cid:durableId="504173889">
    <w:abstractNumId w:val="5"/>
  </w:num>
  <w:num w:numId="4" w16cid:durableId="60490557">
    <w:abstractNumId w:val="4"/>
  </w:num>
  <w:num w:numId="5" w16cid:durableId="1586764223">
    <w:abstractNumId w:val="7"/>
  </w:num>
  <w:num w:numId="6" w16cid:durableId="2092387278">
    <w:abstractNumId w:val="3"/>
  </w:num>
  <w:num w:numId="7" w16cid:durableId="268316375">
    <w:abstractNumId w:val="2"/>
  </w:num>
  <w:num w:numId="8" w16cid:durableId="209197694">
    <w:abstractNumId w:val="1"/>
  </w:num>
  <w:num w:numId="9" w16cid:durableId="122337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CC0"/>
    <w:rsid w:val="00AA1D8D"/>
    <w:rsid w:val="00AF1198"/>
    <w:rsid w:val="00B47730"/>
    <w:rsid w:val="00CB0664"/>
    <w:rsid w:val="00CD58F6"/>
    <w:rsid w:val="00E145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4D4EB"/>
  <w14:defaultImageDpi w14:val="300"/>
  <w15:docId w15:val="{45D28BEE-8170-46BB-A17C-360C9E626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sahith uppala</cp:lastModifiedBy>
  <cp:revision>3</cp:revision>
  <dcterms:created xsi:type="dcterms:W3CDTF">2013-12-23T23:15:00Z</dcterms:created>
  <dcterms:modified xsi:type="dcterms:W3CDTF">2026-09-23T13:59:00Z</dcterms:modified>
  <cp:category/>
</cp:coreProperties>
</file>