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19F" w:rsidRDefault="00583CE1">
      <w:pPr>
        <w:spacing w:after="142"/>
        <w:ind w:left="323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455295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AA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AAE"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pPr w:leftFromText="180" w:rightFromText="180" w:vertAnchor="text" w:horzAnchor="margin" w:tblpY="239"/>
        <w:tblW w:w="10050" w:type="dxa"/>
        <w:tblInd w:w="0" w:type="dxa"/>
        <w:tblCellMar>
          <w:top w:w="169" w:type="dxa"/>
          <w:left w:w="95" w:type="dxa"/>
          <w:right w:w="115" w:type="dxa"/>
        </w:tblCellMar>
        <w:tblLook w:val="04A0"/>
      </w:tblPr>
      <w:tblGrid>
        <w:gridCol w:w="5025"/>
        <w:gridCol w:w="5025"/>
      </w:tblGrid>
      <w:tr w:rsidR="00583CE1" w:rsidTr="00583CE1">
        <w:trPr>
          <w:trHeight w:val="281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3CE1" w:rsidRDefault="00583CE1" w:rsidP="00583CE1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3CE1" w:rsidRDefault="00B46287" w:rsidP="00583CE1">
            <w:r>
              <w:rPr>
                <w:rFonts w:ascii="Times New Roman" w:eastAsia="Times New Roman" w:hAnsi="Times New Roman" w:cs="Times New Roman"/>
                <w:sz w:val="24"/>
              </w:rPr>
              <w:t>12 JULY</w:t>
            </w:r>
            <w:r w:rsidR="00583CE1"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583CE1" w:rsidTr="00583CE1">
        <w:trPr>
          <w:trHeight w:val="292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3CE1" w:rsidRDefault="00583CE1" w:rsidP="00583CE1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3CE1" w:rsidRDefault="00A9694F" w:rsidP="00583CE1">
            <w:r>
              <w:rPr>
                <w:rFonts w:ascii="Times New Roman" w:eastAsia="Times New Roman" w:hAnsi="Times New Roman" w:cs="Times New Roman"/>
                <w:sz w:val="24"/>
              </w:rPr>
              <w:t>740036</w:t>
            </w:r>
          </w:p>
        </w:tc>
      </w:tr>
      <w:tr w:rsidR="00583CE1" w:rsidTr="00583CE1">
        <w:trPr>
          <w:trHeight w:val="449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CE1" w:rsidRDefault="00583CE1" w:rsidP="00583CE1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3CE1" w:rsidRDefault="00B46287" w:rsidP="00583CE1">
            <w:r>
              <w:rPr>
                <w:rFonts w:ascii="Times New Roman" w:eastAsia="Times New Roman" w:hAnsi="Times New Roman" w:cs="Times New Roman"/>
                <w:sz w:val="24"/>
              </w:rPr>
              <w:t>Lymphography Classification Using ML</w:t>
            </w:r>
          </w:p>
        </w:tc>
      </w:tr>
      <w:tr w:rsidR="00583CE1" w:rsidTr="00583CE1">
        <w:trPr>
          <w:trHeight w:val="281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3CE1" w:rsidRDefault="00583CE1" w:rsidP="00583CE1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3CE1" w:rsidRDefault="00583CE1" w:rsidP="00583CE1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:rsidR="009B619F" w:rsidRPr="00583CE1" w:rsidRDefault="00457AAE">
      <w:pPr>
        <w:spacing w:after="21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3CE1">
        <w:rPr>
          <w:rFonts w:ascii="Times New Roman" w:eastAsia="Times New Roman" w:hAnsi="Times New Roman" w:cs="Times New Roman"/>
          <w:b/>
          <w:sz w:val="28"/>
          <w:szCs w:val="28"/>
        </w:rPr>
        <w:t>Feature Selection Report Template</w:t>
      </w:r>
    </w:p>
    <w:p w:rsidR="00583CE1" w:rsidRPr="00583CE1" w:rsidRDefault="00583CE1" w:rsidP="00583CE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description.. Users will indicate whether it's selected or not, providing reasoning for their decision.This process will streamline decision-making and enhance transparency in feature selection.</w:t>
      </w:r>
    </w:p>
    <w:tbl>
      <w:tblPr>
        <w:tblStyle w:val="TableGrid"/>
        <w:tblpPr w:vertAnchor="page" w:horzAnchor="margin" w:tblpY="6349"/>
        <w:tblOverlap w:val="never"/>
        <w:tblW w:w="9832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/>
      </w:tblPr>
      <w:tblGrid>
        <w:gridCol w:w="1575"/>
        <w:gridCol w:w="1786"/>
        <w:gridCol w:w="2142"/>
        <w:gridCol w:w="4329"/>
      </w:tblGrid>
      <w:tr w:rsidR="00457AAE" w:rsidTr="00457AAE">
        <w:trPr>
          <w:trHeight w:val="739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57AAE" w:rsidRDefault="00457AAE" w:rsidP="00457AA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57AAE" w:rsidRDefault="00457AAE" w:rsidP="00457AAE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57AAE" w:rsidRDefault="00457AAE" w:rsidP="00457AAE">
            <w:pPr>
              <w:ind w:left="4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57AAE" w:rsidRDefault="00457AAE" w:rsidP="00457AAE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457AAE" w:rsidTr="00457AAE">
        <w:trPr>
          <w:trHeight w:val="1159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457AA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Class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457AA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Target </w:t>
            </w:r>
            <w:r w:rsidRPr="00B46287">
              <w:rPr>
                <w:rFonts w:ascii="Times New Roman" w:hAnsi="Times New Roman" w:cs="Times New Roman"/>
                <w:sz w:val="24"/>
                <w:szCs w:val="24"/>
              </w:rPr>
              <w:t>variable indicating the classification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457AAE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Pr="00B46287" w:rsidRDefault="00457AAE" w:rsidP="00457AAE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B462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Essential for supervised learning</w:t>
            </w:r>
          </w:p>
        </w:tc>
      </w:tr>
      <w:tr w:rsidR="00457AAE" w:rsidTr="00457AAE">
        <w:trPr>
          <w:trHeight w:val="739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457AA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lymphatics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457AAE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Lymphatic involvement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457AAE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457AAE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Potentially indicative of lymph node abnormalities</w:t>
            </w:r>
          </w:p>
        </w:tc>
      </w:tr>
      <w:tr w:rsidR="00457AAE" w:rsidTr="00457AAE">
        <w:trPr>
          <w:trHeight w:val="93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457AA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block of affere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457AAE">
            <w:pPr>
              <w:ind w:left="15" w:right="42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Blockage of afferent lymph vessels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457AAE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457AAE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Relevant to identifying lymphatic system disruptions</w:t>
            </w:r>
          </w:p>
        </w:tc>
      </w:tr>
      <w:tr w:rsidR="00457AAE" w:rsidTr="00457AAE">
        <w:trPr>
          <w:trHeight w:val="739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457AA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bl. of lymph. c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457AAE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Blockage of lymphatic channels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457AAE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457AAE">
            <w:pPr>
              <w:ind w:left="10"/>
            </w:pPr>
            <w:r>
              <w:t>Critical for understanding lymph flow issues</w:t>
            </w:r>
          </w:p>
        </w:tc>
      </w:tr>
    </w:tbl>
    <w:p w:rsidR="00583CE1" w:rsidRPr="00583CE1" w:rsidRDefault="00583CE1" w:rsidP="00583CE1"/>
    <w:p w:rsidR="009B619F" w:rsidRDefault="00457AAE">
      <w:pPr>
        <w:spacing w:after="0" w:line="305" w:lineRule="auto"/>
      </w:pPr>
      <w:r>
        <w:lastRenderedPageBreak/>
        <w:br w:type="page"/>
      </w:r>
    </w:p>
    <w:tbl>
      <w:tblPr>
        <w:tblStyle w:val="TableGrid"/>
        <w:tblpPr w:leftFromText="180" w:rightFromText="180" w:vertAnchor="text" w:horzAnchor="margin" w:tblpY="271"/>
        <w:tblW w:w="9352" w:type="dxa"/>
        <w:tblInd w:w="0" w:type="dxa"/>
        <w:tblCellMar>
          <w:top w:w="170" w:type="dxa"/>
          <w:left w:w="95" w:type="dxa"/>
          <w:right w:w="110" w:type="dxa"/>
        </w:tblCellMar>
        <w:tblLook w:val="04A0"/>
      </w:tblPr>
      <w:tblGrid>
        <w:gridCol w:w="1498"/>
        <w:gridCol w:w="1698"/>
        <w:gridCol w:w="2038"/>
        <w:gridCol w:w="4118"/>
      </w:tblGrid>
      <w:tr w:rsidR="00795A13" w:rsidTr="00795A13">
        <w:trPr>
          <w:trHeight w:val="710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bl. of lymph. s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Blockage of lymphatic sinuses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Important for diagnosing internal lymphatic blockages</w:t>
            </w:r>
          </w:p>
        </w:tc>
      </w:tr>
      <w:tr w:rsidR="00795A13" w:rsidTr="00795A13">
        <w:trPr>
          <w:trHeight w:val="710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spacing w:after="17"/>
            </w:pPr>
          </w:p>
          <w:p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by pass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Presence of bypass in lymphatic system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Less directly related to classification; may introduce noise</w:t>
            </w:r>
          </w:p>
        </w:tc>
      </w:tr>
      <w:tr w:rsidR="00795A13" w:rsidTr="00795A13">
        <w:trPr>
          <w:trHeight w:val="723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extravasates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Extravasation in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Directly related to lymph node condition</w:t>
            </w:r>
          </w:p>
        </w:tc>
      </w:tr>
      <w:tr w:rsidR="00795A13" w:rsidTr="00795A13">
        <w:trPr>
          <w:trHeight w:val="710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regeneration of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Regeneration of lymphatic tissues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Indicative of recovery or progression of lymphatic issues</w:t>
            </w:r>
          </w:p>
        </w:tc>
      </w:tr>
      <w:tr w:rsidR="00795A13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early uptake in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Early uptake in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Can indicate abnormal lymph node activity</w:t>
            </w:r>
          </w:p>
        </w:tc>
      </w:tr>
      <w:tr w:rsidR="00795A13" w:rsidTr="00795A13">
        <w:trPr>
          <w:trHeight w:val="885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lym.nodes dimin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5" w:right="47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Diminished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Key feature for identifying reduced lymphatic function</w:t>
            </w:r>
          </w:p>
        </w:tc>
      </w:tr>
      <w:tr w:rsidR="00795A13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lym.nodes enlar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Enlarged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Pr="00795A13" w:rsidRDefault="00795A13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Common sign of abnormalities like infections or malignancies</w:t>
            </w:r>
          </w:p>
        </w:tc>
      </w:tr>
      <w:tr w:rsidR="00795A13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lym.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795A13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General indicator of lymph node health</w:t>
            </w:r>
          </w:p>
        </w:tc>
      </w:tr>
      <w:tr w:rsidR="00795A13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defect in node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Defects in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Directly related to lymph node abnormalities</w:t>
            </w:r>
          </w:p>
        </w:tc>
      </w:tr>
      <w:tr w:rsidR="00795A13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node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5A13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Relevant for tracking abnormal node conditions</w:t>
            </w:r>
          </w:p>
        </w:tc>
      </w:tr>
      <w:tr w:rsidR="00457AAE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stru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node structure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Structural changes can indicate serious issues</w:t>
            </w:r>
          </w:p>
        </w:tc>
      </w:tr>
      <w:tr w:rsidR="00457AAE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special forms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Special formations in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Too vague; lacks specific relevance</w:t>
            </w:r>
          </w:p>
        </w:tc>
      </w:tr>
      <w:tr w:rsidR="00457AAE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dislocation of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Dislocation of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Rare occurrence; less likely to contribute significantly</w:t>
            </w:r>
          </w:p>
        </w:tc>
      </w:tr>
      <w:tr w:rsidR="00457AAE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exclusion of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Exclusion of certain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Less impactful on overall classification accuracy</w:t>
            </w:r>
          </w:p>
        </w:tc>
      </w:tr>
      <w:tr w:rsidR="00457AAE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no. of nodes in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Number of nodes involved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Quantitativemeasure of lymph node involvement</w:t>
            </w:r>
          </w:p>
        </w:tc>
      </w:tr>
    </w:tbl>
    <w:p w:rsidR="009B619F" w:rsidRDefault="00457AAE">
      <w:pPr>
        <w:spacing w:after="835"/>
        <w:ind w:left="-1440" w:right="10477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AAE" w:rsidRDefault="00457AAE"/>
    <w:sectPr w:rsidR="00457AAE" w:rsidSect="00A1239D">
      <w:pgSz w:w="12240" w:h="15840"/>
      <w:pgMar w:top="1530" w:right="1763" w:bottom="189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448" w:rsidRDefault="00367448" w:rsidP="00583CE1">
      <w:pPr>
        <w:spacing w:after="0" w:line="240" w:lineRule="auto"/>
      </w:pPr>
      <w:r>
        <w:separator/>
      </w:r>
    </w:p>
  </w:endnote>
  <w:endnote w:type="continuationSeparator" w:id="1">
    <w:p w:rsidR="00367448" w:rsidRDefault="00367448" w:rsidP="0058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448" w:rsidRDefault="00367448" w:rsidP="00583CE1">
      <w:pPr>
        <w:spacing w:after="0" w:line="240" w:lineRule="auto"/>
      </w:pPr>
      <w:r>
        <w:separator/>
      </w:r>
    </w:p>
  </w:footnote>
  <w:footnote w:type="continuationSeparator" w:id="1">
    <w:p w:rsidR="00367448" w:rsidRDefault="00367448" w:rsidP="00583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619F"/>
    <w:rsid w:val="00367448"/>
    <w:rsid w:val="00457AAE"/>
    <w:rsid w:val="00583CE1"/>
    <w:rsid w:val="00795A13"/>
    <w:rsid w:val="009B619F"/>
    <w:rsid w:val="00A1239D"/>
    <w:rsid w:val="00A9694F"/>
    <w:rsid w:val="00B46287"/>
    <w:rsid w:val="00F70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39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1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CE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83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CE1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Sekarr Pantham</dc:creator>
  <cp:keywords/>
  <cp:lastModifiedBy>Sahithyakamarapu</cp:lastModifiedBy>
  <cp:revision>3</cp:revision>
  <dcterms:created xsi:type="dcterms:W3CDTF">2024-07-12T10:28:00Z</dcterms:created>
  <dcterms:modified xsi:type="dcterms:W3CDTF">2024-07-20T17:18:00Z</dcterms:modified>
</cp:coreProperties>
</file>