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B7" w:rsidRPr="00AD76B7" w:rsidRDefault="00AD76B7" w:rsidP="00AD76B7">
      <w:pPr>
        <w:spacing w:after="0" w:line="240" w:lineRule="auto"/>
        <w:rPr>
          <w:rFonts w:ascii="Verdana" w:eastAsia="Times New Roman" w:hAnsi="Verdana" w:cs="Times New Roman"/>
          <w:sz w:val="15"/>
          <w:szCs w:val="15"/>
        </w:rPr>
      </w:pPr>
      <w:r w:rsidRPr="00AD76B7">
        <w:rPr>
          <w:rFonts w:ascii="Verdana" w:eastAsia="Times New Roman" w:hAnsi="Verdana" w:cs="Times New Roman"/>
          <w:sz w:val="15"/>
          <w:szCs w:val="15"/>
        </w:rPr>
        <w:t xml:space="preserve">Please note: This is not a web page. You are viewing an XML document in your browser. Please </w:t>
      </w:r>
      <w:hyperlink r:id="rId5" w:history="1">
        <w:r w:rsidRPr="00AD76B7">
          <w:rPr>
            <w:rFonts w:ascii="Verdana" w:eastAsia="Times New Roman" w:hAnsi="Verdana" w:cs="Times New Roman"/>
            <w:color w:val="0000FF"/>
            <w:sz w:val="15"/>
            <w:szCs w:val="15"/>
            <w:u w:val="single"/>
          </w:rPr>
          <w:t>click here</w:t>
        </w:r>
      </w:hyperlink>
      <w:r w:rsidRPr="00AD76B7">
        <w:rPr>
          <w:rFonts w:ascii="Verdana" w:eastAsia="Times New Roman" w:hAnsi="Verdana" w:cs="Times New Roman"/>
          <w:sz w:val="15"/>
          <w:szCs w:val="15"/>
        </w:rPr>
        <w:t xml:space="preserve"> to return to the web. </w:t>
      </w:r>
    </w:p>
    <w:p w:rsidR="00AD76B7" w:rsidRPr="00AD76B7" w:rsidRDefault="00AD76B7" w:rsidP="00AD76B7">
      <w:pPr>
        <w:shd w:val="clear" w:color="auto" w:fill="9CC7EA"/>
        <w:spacing w:after="120" w:line="240" w:lineRule="auto"/>
        <w:rPr>
          <w:rFonts w:ascii="Verdana" w:eastAsia="Times New Roman" w:hAnsi="Verdana" w:cs="Times New Roman"/>
          <w:sz w:val="15"/>
          <w:szCs w:val="15"/>
        </w:rPr>
      </w:pPr>
      <w:r w:rsidRPr="00AD76B7">
        <w:rPr>
          <w:rFonts w:ascii="Copperplate Gothic Bold" w:eastAsia="Times New Roman" w:hAnsi="Copperplate Gothic Bold" w:cs="Times New Roman"/>
          <w:b/>
          <w:bCs/>
          <w:color w:val="002779"/>
          <w:sz w:val="45"/>
          <w:szCs w:val="45"/>
          <w:bdr w:val="single" w:sz="6" w:space="0" w:color="auto" w:frame="1"/>
          <w:shd w:val="clear" w:color="auto" w:fill="EEE1B4"/>
        </w:rPr>
        <w:t>MPC</w:t>
      </w:r>
      <w:r w:rsidRPr="00AD76B7">
        <w:rPr>
          <w:rFonts w:ascii="Candara" w:eastAsia="Times New Roman" w:hAnsi="Candara" w:cs="Times New Roman"/>
          <w:color w:val="002779"/>
          <w:sz w:val="30"/>
          <w:szCs w:val="30"/>
        </w:rPr>
        <w:t>Minnesota Population Center</w:t>
      </w:r>
    </w:p>
    <w:p w:rsidR="00AD76B7" w:rsidRPr="00AD76B7" w:rsidRDefault="00AD76B7" w:rsidP="00AD76B7">
      <w:pPr>
        <w:spacing w:before="240" w:after="240" w:line="240" w:lineRule="auto"/>
        <w:ind w:left="240" w:right="240"/>
        <w:jc w:val="center"/>
        <w:outlineLvl w:val="0"/>
        <w:rPr>
          <w:rFonts w:ascii="Verdana" w:eastAsia="Times New Roman" w:hAnsi="Verdana" w:cs="Times New Roman"/>
          <w:b/>
          <w:bCs/>
          <w:kern w:val="36"/>
          <w:sz w:val="30"/>
          <w:szCs w:val="30"/>
        </w:rPr>
      </w:pPr>
      <w:r w:rsidRPr="00AD76B7">
        <w:rPr>
          <w:rFonts w:ascii="Verdana" w:eastAsia="Times New Roman" w:hAnsi="Verdana" w:cs="Times New Roman"/>
          <w:b/>
          <w:bCs/>
          <w:kern w:val="36"/>
          <w:sz w:val="30"/>
          <w:szCs w:val="30"/>
        </w:rPr>
        <w:t>User Extract nhis_00007.dat</w:t>
      </w:r>
    </w:p>
    <w:p w:rsidR="00AD76B7" w:rsidRPr="00AD76B7" w:rsidRDefault="00AD76B7" w:rsidP="00AD76B7">
      <w:pPr>
        <w:spacing w:after="0" w:line="240" w:lineRule="auto"/>
        <w:rPr>
          <w:rFonts w:ascii="Verdana" w:eastAsia="Times New Roman" w:hAnsi="Verdana" w:cs="Times New Roman"/>
          <w:sz w:val="15"/>
          <w:szCs w:val="15"/>
        </w:rPr>
      </w:pPr>
      <w:r w:rsidRPr="00AD76B7">
        <w:rPr>
          <w:rFonts w:ascii="Verdana" w:eastAsia="Times New Roman" w:hAnsi="Verdana" w:cs="Times New Roman"/>
          <w:b/>
          <w:bCs/>
          <w:sz w:val="18"/>
          <w:szCs w:val="18"/>
        </w:rPr>
        <w:t>Jump to Section</w:t>
      </w:r>
    </w:p>
    <w:p w:rsidR="00AD76B7" w:rsidRPr="00AD76B7" w:rsidRDefault="00AD76B7" w:rsidP="00AD76B7">
      <w:pPr>
        <w:numPr>
          <w:ilvl w:val="0"/>
          <w:numId w:val="1"/>
        </w:numPr>
        <w:spacing w:before="120" w:after="120" w:line="240" w:lineRule="auto"/>
        <w:ind w:left="840" w:right="120"/>
        <w:rPr>
          <w:rFonts w:ascii="Verdana" w:eastAsia="Times New Roman" w:hAnsi="Verdana" w:cs="Times New Roman"/>
          <w:sz w:val="18"/>
          <w:szCs w:val="18"/>
        </w:rPr>
      </w:pPr>
      <w:hyperlink r:id="rId6" w:anchor="docDscr" w:history="1">
        <w:r w:rsidRPr="00AD76B7">
          <w:rPr>
            <w:rFonts w:ascii="Verdana" w:eastAsia="Times New Roman" w:hAnsi="Verdana" w:cs="Times New Roman"/>
            <w:color w:val="0000FF"/>
            <w:sz w:val="18"/>
            <w:szCs w:val="18"/>
            <w:u w:val="single"/>
          </w:rPr>
          <w:t>Document Description</w:t>
        </w:r>
      </w:hyperlink>
    </w:p>
    <w:p w:rsidR="00AD76B7" w:rsidRPr="00AD76B7" w:rsidRDefault="00AD76B7" w:rsidP="00AD76B7">
      <w:pPr>
        <w:numPr>
          <w:ilvl w:val="0"/>
          <w:numId w:val="1"/>
        </w:numPr>
        <w:spacing w:before="120" w:after="120" w:line="240" w:lineRule="auto"/>
        <w:ind w:left="840" w:right="120"/>
        <w:rPr>
          <w:rFonts w:ascii="Verdana" w:eastAsia="Times New Roman" w:hAnsi="Verdana" w:cs="Times New Roman"/>
          <w:sz w:val="18"/>
          <w:szCs w:val="18"/>
        </w:rPr>
      </w:pPr>
      <w:hyperlink r:id="rId7" w:anchor="stdyDscr" w:history="1">
        <w:r w:rsidRPr="00AD76B7">
          <w:rPr>
            <w:rFonts w:ascii="Verdana" w:eastAsia="Times New Roman" w:hAnsi="Verdana" w:cs="Times New Roman"/>
            <w:color w:val="0000FF"/>
            <w:sz w:val="18"/>
            <w:szCs w:val="18"/>
            <w:u w:val="single"/>
          </w:rPr>
          <w:t>Study Description</w:t>
        </w:r>
      </w:hyperlink>
    </w:p>
    <w:p w:rsidR="00AD76B7" w:rsidRPr="00AD76B7" w:rsidRDefault="00AD76B7" w:rsidP="00AD76B7">
      <w:pPr>
        <w:numPr>
          <w:ilvl w:val="0"/>
          <w:numId w:val="1"/>
        </w:numPr>
        <w:spacing w:before="120" w:after="120" w:line="240" w:lineRule="auto"/>
        <w:ind w:left="840" w:right="120"/>
        <w:rPr>
          <w:rFonts w:ascii="Verdana" w:eastAsia="Times New Roman" w:hAnsi="Verdana" w:cs="Times New Roman"/>
          <w:sz w:val="18"/>
          <w:szCs w:val="18"/>
        </w:rPr>
      </w:pPr>
      <w:hyperlink r:id="rId8" w:anchor="fileDscr" w:history="1">
        <w:r w:rsidRPr="00AD76B7">
          <w:rPr>
            <w:rFonts w:ascii="Verdana" w:eastAsia="Times New Roman" w:hAnsi="Verdana" w:cs="Times New Roman"/>
            <w:color w:val="0000FF"/>
            <w:sz w:val="18"/>
            <w:szCs w:val="18"/>
            <w:u w:val="single"/>
          </w:rPr>
          <w:t>File Description</w:t>
        </w:r>
      </w:hyperlink>
    </w:p>
    <w:p w:rsidR="00AD76B7" w:rsidRPr="00AD76B7" w:rsidRDefault="00AD76B7" w:rsidP="00AD76B7">
      <w:pPr>
        <w:numPr>
          <w:ilvl w:val="0"/>
          <w:numId w:val="1"/>
        </w:numPr>
        <w:spacing w:before="120" w:after="120" w:line="240" w:lineRule="auto"/>
        <w:ind w:left="840" w:right="120"/>
        <w:rPr>
          <w:rFonts w:ascii="Verdana" w:eastAsia="Times New Roman" w:hAnsi="Verdana" w:cs="Times New Roman"/>
          <w:sz w:val="18"/>
          <w:szCs w:val="18"/>
        </w:rPr>
      </w:pPr>
      <w:hyperlink r:id="rId9" w:anchor="dataDscr" w:history="1">
        <w:r w:rsidRPr="00AD76B7">
          <w:rPr>
            <w:rFonts w:ascii="Verdana" w:eastAsia="Times New Roman" w:hAnsi="Verdana" w:cs="Times New Roman"/>
            <w:color w:val="0000FF"/>
            <w:sz w:val="18"/>
            <w:szCs w:val="18"/>
            <w:u w:val="single"/>
          </w:rPr>
          <w:t>Variable Description</w:t>
        </w:r>
      </w:hyperlink>
    </w:p>
    <w:p w:rsidR="00AD76B7" w:rsidRPr="00AD76B7" w:rsidRDefault="00AD76B7" w:rsidP="00AD76B7">
      <w:pPr>
        <w:spacing w:after="240" w:line="240" w:lineRule="auto"/>
        <w:ind w:left="480" w:right="480"/>
        <w:outlineLvl w:val="1"/>
        <w:rPr>
          <w:rFonts w:ascii="Verdana" w:eastAsia="Times New Roman" w:hAnsi="Verdana" w:cs="Times New Roman"/>
          <w:b/>
          <w:bCs/>
          <w:sz w:val="24"/>
          <w:szCs w:val="24"/>
        </w:rPr>
      </w:pPr>
      <w:r w:rsidRPr="00AD76B7">
        <w:rPr>
          <w:rFonts w:ascii="Verdana" w:eastAsia="Times New Roman" w:hAnsi="Verdana" w:cs="Times New Roman"/>
          <w:b/>
          <w:bCs/>
          <w:sz w:val="24"/>
          <w:szCs w:val="24"/>
        </w:rPr>
        <w:t>§ 1. Document Description</w:t>
      </w:r>
    </w:p>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3"/>
        <w:gridCol w:w="6511"/>
      </w:tblGrid>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Title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Codebook for an Integrated Health Interview Series Data Extract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Subtitle: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DDI 2.5 metadata describing the extract file 'nhis_00007.dat'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Identification Number: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ddi2-141656_nhis_00007.dat-nhis.ipums.org</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Responsibility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University of Minnesota</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Production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University of Minnesota</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Documentation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May 16, 2019</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 50 Willey Hall, 225 - 19th Avenue South, Minneapolis, MN 55455</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Distribution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University of Minnesota</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hyperlink r:id="rId10" w:history="1">
              <w:r w:rsidRPr="00AD76B7">
                <w:rPr>
                  <w:rFonts w:ascii="Verdana" w:eastAsia="Times New Roman" w:hAnsi="Verdana" w:cs="Times New Roman"/>
                  <w:color w:val="0000FF"/>
                  <w:sz w:val="18"/>
                  <w:szCs w:val="18"/>
                  <w:u w:val="single"/>
                </w:rPr>
                <w:t>http://pop.umn.edu</w:t>
              </w:r>
            </w:hyperlink>
          </w:p>
        </w:tc>
      </w:tr>
    </w:tbl>
    <w:p w:rsidR="00AD76B7" w:rsidRPr="00AD76B7" w:rsidRDefault="00AD76B7" w:rsidP="00AD76B7">
      <w:pPr>
        <w:spacing w:after="240" w:line="240" w:lineRule="auto"/>
        <w:ind w:left="480" w:right="480"/>
        <w:outlineLvl w:val="1"/>
        <w:rPr>
          <w:rFonts w:ascii="Verdana" w:eastAsia="Times New Roman" w:hAnsi="Verdana" w:cs="Times New Roman"/>
          <w:b/>
          <w:bCs/>
          <w:sz w:val="24"/>
          <w:szCs w:val="24"/>
        </w:rPr>
      </w:pPr>
      <w:r w:rsidRPr="00AD76B7">
        <w:rPr>
          <w:rFonts w:ascii="Verdana" w:eastAsia="Times New Roman" w:hAnsi="Verdana" w:cs="Times New Roman"/>
          <w:b/>
          <w:bCs/>
          <w:sz w:val="24"/>
          <w:szCs w:val="24"/>
        </w:rPr>
        <w:t>§ 2. Study Description</w:t>
      </w:r>
    </w:p>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lastRenderedPageBreak/>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38"/>
        <w:gridCol w:w="6666"/>
      </w:tblGrid>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Title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User Extract nhis_00007.dat</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Responsibility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University of Minnesota</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Production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University of Minnesota</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Documentation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May 16, 2019</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 50 Willey Hall, 225 - 19th Avenue South, Minneapolis, MN 55455</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Distribution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University of Minnesota</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hyperlink r:id="rId11" w:history="1">
              <w:r w:rsidRPr="00AD76B7">
                <w:rPr>
                  <w:rFonts w:ascii="Verdana" w:eastAsia="Times New Roman" w:hAnsi="Verdana" w:cs="Times New Roman"/>
                  <w:color w:val="0000FF"/>
                  <w:sz w:val="18"/>
                  <w:szCs w:val="18"/>
                  <w:u w:val="single"/>
                </w:rPr>
                <w:t>http://pop.umn.edu</w:t>
              </w:r>
            </w:hyperlink>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Version Statement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Date: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2019-05-16</w:t>
            </w: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Study Scope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00"/>
        <w:gridCol w:w="6504"/>
      </w:tblGrid>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Subject Information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Topic Classification: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Technical Household Variables -- HOUSEHOLD</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Geography Variables -- HOUSEHOLD</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Technical Person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Core Demographic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Ethnicity/Nativity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Access to Care Variables -- PERSON</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2007</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2008</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2009</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2010</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2011</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2012</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2013</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2014</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2015</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2016</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Summary Data Description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2017</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United States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Notes</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2007;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2008;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2009;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2010;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2011;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2012;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2013;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2014;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2015;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2016; regular size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Additional notes on a sample that is part of this study: NHIS 2017; regular size</w:t>
            </w: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Data Access - Use Statement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317"/>
        <w:gridCol w:w="5787"/>
      </w:tblGrid>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Confidentiality Declaration</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 xml:space="preserve">The Public Health Service Act (Section 308 (d)) provides that the data collected by the National Center for Health Statistics (NCHS), Centers for Disease Control and Prevention (CDC), may be used only for the purpose of health statistical reporting and analysis. Any effort to determine the identity of any reported case is prohibited by this law. NCHS does all it can to assure that the identity of data subjects cannot be disclosed. All direct identifiers, as well as any characteristics that might lead to identification, are omitted from the data files. Any intentional identification or disclosure of a person or establishment violates the assurances of confidentiality given to the providers of the information.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Therefore, users will: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Use the data in these data files for statistical reporting and analysis only.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Make no use of the identity of any person or establishment discovered inadvertently and advise the Director, NCHS, of any such discovery (301-458-4500).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Not link these data files with individually identifiable data from other NCHS or non-NCHS data files.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lastRenderedPageBreak/>
              <w:t xml:space="preserve">By using these data, you signify your agreement to comply with the above-stated statutorily-based requirements. </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Integrated Health Interview Series</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hyperlink r:id="rId12" w:history="1">
              <w:r w:rsidRPr="00AD76B7">
                <w:rPr>
                  <w:rFonts w:ascii="Verdana" w:eastAsia="Times New Roman" w:hAnsi="Verdana" w:cs="Times New Roman"/>
                  <w:color w:val="0000FF"/>
                  <w:sz w:val="18"/>
                  <w:szCs w:val="18"/>
                  <w:u w:val="single"/>
                </w:rPr>
                <w:t>http://www.nhis.ipums.org/</w:t>
              </w:r>
            </w:hyperlink>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Citation Requirement</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Publications and research reports based on the NHIS database must cite it appropriately. The citation is as follows:</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Lynn A. Blewett, Julia A. Rivera Drew, Risa Griffin, Miriam L. King and Kari C.W. Williams. IPUMS Health Surveys: National Health Interview Survey, Version 6.3 [dataset]. Minneapolis, MN: IPUMS, 2018. https://doi.org/10.18128/D070.V6.3</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If possible, citations should also include the URL for the NHIS site: http://www.nhis.ipums.org.</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Please see http://www.nhis.ipums.org/nhis/citation.shtml for precise formatting of the citation.</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Conditions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 xml:space="preserve">The Public Health Service Act (Section 308 (d)) provides that the data collected by the National Center for Health Statistics (NCHS), Centers for Disease Control and Prevention (CDC), may be used only for the purpose of health statistical reporting and analysis. Any effort to determine the identity of any reported case is prohibited by this law. NCHS does all it can to assure that the identity of data subjects cannot be disclosed. All direct identifiers, as well as any characteristics that might lead to identification, are omitted from the data files. Any intentional identification or disclosure of a person or establishment violates the assurances of confidentiality given to the providers of the information.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Therefore, users must: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lastRenderedPageBreak/>
              <w:br/>
              <w:t xml:space="preserve">Use the data in these data files for statistical reporting and analysis only.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Make no use of the identity of any person or establishment discovered inadvertently and advise the Director, NCHS, of any such discovery (301-458-4500).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Not link these data files with individually identifiable data from other NCHS or non-NCHS data files.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By using these data, you signify your agreement to comply with the above-stated statutorily-based requirements.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Furthermore, users of NHIS data must agree to abide by the conditions of use. Users must agree to the following conditions:</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(1) Use the data in these data files for statistical reporting and analysis only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(2) Make no use of the identity of any person or establishment discovered inadvertently and advise the Director of NCHS of any such discovery (301-458-4500)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(3) Do not link these data with individually-identifiable data from NCHS or non-NCHS data files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(4) No fees may be charged for use or distribution of the data. All persons are granted a limited license to use and distribute these data, but you may not charge a fee for the data if you distribute them to others.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(5) Cite the NHIS appropriately. Publications and research reports based on the database must cite it appropriately. Please see http://www.nhis.ipums.org/nhis/citation.shtml</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(6) NHIS cannot be used to study small geographic areas. The smallest geographical areas identified in the NHIS are regions (groups of states) and a limited number of metropolitan areas.</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(7) This system provides individual-level data only. The NHIS Data Extraction System will not produce tables. You will need to use a statistical software package, such as Stata, SAS, or SPSS, to analyze the downloaded data. Alternatively, you may use the NHIS-SDA tabulator to produce tables online, without making a data extract.</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lastRenderedPageBreak/>
              <w:t>Disclaimer</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The user of the data acknowledges that the original collector of the data, the authorized distributor of the data, and the relevant funding agency bear no responsibility for use of the data or for interpretations or inferences based upon such uses.</w:t>
            </w: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Study Notes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1464"/>
        <w:gridCol w:w="6963"/>
      </w:tblGrid>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lastRenderedPageBreak/>
              <w:t>Notes</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User-provided description: Revision of (access data)</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This extract is a revision of the user's previous extract, number 6.</w:t>
            </w:r>
          </w:p>
        </w:tc>
      </w:tr>
    </w:tbl>
    <w:p w:rsidR="00AD76B7" w:rsidRPr="00AD76B7" w:rsidRDefault="00AD76B7" w:rsidP="00AD76B7">
      <w:pPr>
        <w:spacing w:after="240" w:line="240" w:lineRule="auto"/>
        <w:ind w:left="480" w:right="480"/>
        <w:outlineLvl w:val="1"/>
        <w:rPr>
          <w:rFonts w:ascii="Verdana" w:eastAsia="Times New Roman" w:hAnsi="Verdana" w:cs="Times New Roman"/>
          <w:b/>
          <w:bCs/>
          <w:sz w:val="24"/>
          <w:szCs w:val="24"/>
        </w:rPr>
      </w:pPr>
      <w:r w:rsidRPr="00AD76B7">
        <w:rPr>
          <w:rFonts w:ascii="Verdana" w:eastAsia="Times New Roman" w:hAnsi="Verdana" w:cs="Times New Roman"/>
          <w:b/>
          <w:bCs/>
          <w:sz w:val="24"/>
          <w:szCs w:val="24"/>
        </w:rPr>
        <w:t>§ 3. File Description</w:t>
      </w:r>
    </w:p>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File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46"/>
        <w:gridCol w:w="6458"/>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File 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nhis_00007.dat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Contents of Files: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Microdata records</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rectangular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File 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ISO-8859-1 data file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Data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fixed length fields</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Place of File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Minnesota Population Center, 50 Willey Hall, 225 - 19th Avenue South, Minneapolis, MN 55455</w:t>
            </w:r>
          </w:p>
        </w:tc>
      </w:tr>
    </w:tbl>
    <w:p w:rsidR="00AD76B7" w:rsidRPr="00AD76B7" w:rsidRDefault="00AD76B7" w:rsidP="00AD76B7">
      <w:pPr>
        <w:spacing w:after="240" w:line="240" w:lineRule="auto"/>
        <w:ind w:left="480" w:right="480"/>
        <w:outlineLvl w:val="1"/>
        <w:rPr>
          <w:rFonts w:ascii="Verdana" w:eastAsia="Times New Roman" w:hAnsi="Verdana" w:cs="Times New Roman"/>
          <w:b/>
          <w:bCs/>
          <w:sz w:val="24"/>
          <w:szCs w:val="24"/>
        </w:rPr>
      </w:pPr>
      <w:r w:rsidRPr="00AD76B7">
        <w:rPr>
          <w:rFonts w:ascii="Verdana" w:eastAsia="Times New Roman" w:hAnsi="Verdana" w:cs="Times New Roman"/>
          <w:b/>
          <w:bCs/>
          <w:sz w:val="24"/>
          <w:szCs w:val="24"/>
        </w:rPr>
        <w:t>§ 4. Variable Description</w:t>
      </w:r>
    </w:p>
    <w:p w:rsidR="00AD76B7" w:rsidRPr="00AD76B7" w:rsidRDefault="00AD76B7" w:rsidP="00AD76B7">
      <w:pPr>
        <w:spacing w:after="0" w:line="240" w:lineRule="auto"/>
        <w:rPr>
          <w:rFonts w:ascii="Verdana" w:eastAsia="Times New Roman" w:hAnsi="Verdana" w:cs="Times New Roman"/>
          <w:sz w:val="15"/>
          <w:szCs w:val="15"/>
        </w:rPr>
      </w:pPr>
      <w:r w:rsidRPr="00AD76B7">
        <w:rPr>
          <w:rFonts w:ascii="Verdana" w:eastAsia="Times New Roman" w:hAnsi="Verdana" w:cs="Times New Roman"/>
          <w:b/>
          <w:bCs/>
          <w:sz w:val="18"/>
          <w:szCs w:val="18"/>
        </w:rPr>
        <w:t>Jump to Variable</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13" w:anchor="YEAR" w:history="1">
        <w:r w:rsidRPr="00AD76B7">
          <w:rPr>
            <w:rFonts w:ascii="Verdana" w:eastAsia="Times New Roman" w:hAnsi="Verdana" w:cs="Times New Roman"/>
            <w:color w:val="0000FF"/>
            <w:sz w:val="18"/>
            <w:szCs w:val="18"/>
            <w:u w:val="single"/>
          </w:rPr>
          <w:t>YEAR</w:t>
        </w:r>
      </w:hyperlink>
      <w:r w:rsidRPr="00AD76B7">
        <w:rPr>
          <w:rFonts w:ascii="Verdana" w:eastAsia="Times New Roman" w:hAnsi="Verdana" w:cs="Times New Roman"/>
          <w:sz w:val="18"/>
          <w:szCs w:val="18"/>
        </w:rPr>
        <w:t xml:space="preserve"> (Survey year)</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14" w:anchor="REGION" w:history="1">
        <w:r w:rsidRPr="00AD76B7">
          <w:rPr>
            <w:rFonts w:ascii="Verdana" w:eastAsia="Times New Roman" w:hAnsi="Verdana" w:cs="Times New Roman"/>
            <w:color w:val="0000FF"/>
            <w:sz w:val="18"/>
            <w:szCs w:val="18"/>
            <w:u w:val="single"/>
          </w:rPr>
          <w:t>REGION</w:t>
        </w:r>
      </w:hyperlink>
      <w:r w:rsidRPr="00AD76B7">
        <w:rPr>
          <w:rFonts w:ascii="Verdana" w:eastAsia="Times New Roman" w:hAnsi="Verdana" w:cs="Times New Roman"/>
          <w:sz w:val="18"/>
          <w:szCs w:val="18"/>
        </w:rPr>
        <w:t xml:space="preserve"> (Region of residence)</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15" w:anchor="PERWEIGHT" w:history="1">
        <w:r w:rsidRPr="00AD76B7">
          <w:rPr>
            <w:rFonts w:ascii="Verdana" w:eastAsia="Times New Roman" w:hAnsi="Verdana" w:cs="Times New Roman"/>
            <w:color w:val="0000FF"/>
            <w:sz w:val="18"/>
            <w:szCs w:val="18"/>
            <w:u w:val="single"/>
          </w:rPr>
          <w:t>PERWEIGHT</w:t>
        </w:r>
      </w:hyperlink>
      <w:r w:rsidRPr="00AD76B7">
        <w:rPr>
          <w:rFonts w:ascii="Verdana" w:eastAsia="Times New Roman" w:hAnsi="Verdana" w:cs="Times New Roman"/>
          <w:sz w:val="18"/>
          <w:szCs w:val="18"/>
        </w:rPr>
        <w:t xml:space="preserve"> (Final basic annual weight)</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16" w:anchor="SAMPWEIGHT" w:history="1">
        <w:r w:rsidRPr="00AD76B7">
          <w:rPr>
            <w:rFonts w:ascii="Verdana" w:eastAsia="Times New Roman" w:hAnsi="Verdana" w:cs="Times New Roman"/>
            <w:color w:val="0000FF"/>
            <w:sz w:val="18"/>
            <w:szCs w:val="18"/>
            <w:u w:val="single"/>
          </w:rPr>
          <w:t>SAMPWEIGHT</w:t>
        </w:r>
      </w:hyperlink>
      <w:r w:rsidRPr="00AD76B7">
        <w:rPr>
          <w:rFonts w:ascii="Verdana" w:eastAsia="Times New Roman" w:hAnsi="Verdana" w:cs="Times New Roman"/>
          <w:sz w:val="18"/>
          <w:szCs w:val="18"/>
        </w:rPr>
        <w:t xml:space="preserve"> (Sample Person Weight)</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17" w:anchor="AGE" w:history="1">
        <w:r w:rsidRPr="00AD76B7">
          <w:rPr>
            <w:rFonts w:ascii="Verdana" w:eastAsia="Times New Roman" w:hAnsi="Verdana" w:cs="Times New Roman"/>
            <w:color w:val="0000FF"/>
            <w:sz w:val="18"/>
            <w:szCs w:val="18"/>
            <w:u w:val="single"/>
          </w:rPr>
          <w:t>AGE</w:t>
        </w:r>
      </w:hyperlink>
      <w:r w:rsidRPr="00AD76B7">
        <w:rPr>
          <w:rFonts w:ascii="Verdana" w:eastAsia="Times New Roman" w:hAnsi="Verdana" w:cs="Times New Roman"/>
          <w:sz w:val="18"/>
          <w:szCs w:val="18"/>
        </w:rPr>
        <w:t xml:space="preserve"> (Age)</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18" w:anchor="SEX" w:history="1">
        <w:r w:rsidRPr="00AD76B7">
          <w:rPr>
            <w:rFonts w:ascii="Verdana" w:eastAsia="Times New Roman" w:hAnsi="Verdana" w:cs="Times New Roman"/>
            <w:color w:val="0000FF"/>
            <w:sz w:val="18"/>
            <w:szCs w:val="18"/>
            <w:u w:val="single"/>
          </w:rPr>
          <w:t>SEX</w:t>
        </w:r>
      </w:hyperlink>
      <w:r w:rsidRPr="00AD76B7">
        <w:rPr>
          <w:rFonts w:ascii="Verdana" w:eastAsia="Times New Roman" w:hAnsi="Verdana" w:cs="Times New Roman"/>
          <w:sz w:val="18"/>
          <w:szCs w:val="18"/>
        </w:rPr>
        <w:t xml:space="preserve"> (Sex)</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19" w:anchor="RACEA" w:history="1">
        <w:r w:rsidRPr="00AD76B7">
          <w:rPr>
            <w:rFonts w:ascii="Verdana" w:eastAsia="Times New Roman" w:hAnsi="Verdana" w:cs="Times New Roman"/>
            <w:color w:val="0000FF"/>
            <w:sz w:val="18"/>
            <w:szCs w:val="18"/>
            <w:u w:val="single"/>
          </w:rPr>
          <w:t>RACEA</w:t>
        </w:r>
      </w:hyperlink>
      <w:r w:rsidRPr="00AD76B7">
        <w:rPr>
          <w:rFonts w:ascii="Verdana" w:eastAsia="Times New Roman" w:hAnsi="Verdana" w:cs="Times New Roman"/>
          <w:sz w:val="18"/>
          <w:szCs w:val="18"/>
        </w:rPr>
        <w:t xml:space="preserve"> (Main Racial Background (Pre-1997 Revised OMB Standards), self-reported or interviewer reported)</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20" w:anchor="USUALPL" w:history="1">
        <w:r w:rsidRPr="00AD76B7">
          <w:rPr>
            <w:rFonts w:ascii="Verdana" w:eastAsia="Times New Roman" w:hAnsi="Verdana" w:cs="Times New Roman"/>
            <w:color w:val="0000FF"/>
            <w:sz w:val="18"/>
            <w:szCs w:val="18"/>
            <w:u w:val="single"/>
          </w:rPr>
          <w:t>USUALPL</w:t>
        </w:r>
      </w:hyperlink>
      <w:r w:rsidRPr="00AD76B7">
        <w:rPr>
          <w:rFonts w:ascii="Verdana" w:eastAsia="Times New Roman" w:hAnsi="Verdana" w:cs="Times New Roman"/>
          <w:sz w:val="18"/>
          <w:szCs w:val="18"/>
        </w:rPr>
        <w:t xml:space="preserve"> (Has usual place for medical care)</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21" w:anchor="ROUTCARE" w:history="1">
        <w:r w:rsidRPr="00AD76B7">
          <w:rPr>
            <w:rFonts w:ascii="Verdana" w:eastAsia="Times New Roman" w:hAnsi="Verdana" w:cs="Times New Roman"/>
            <w:color w:val="0000FF"/>
            <w:sz w:val="18"/>
            <w:szCs w:val="18"/>
            <w:u w:val="single"/>
          </w:rPr>
          <w:t>ROUTCARE</w:t>
        </w:r>
      </w:hyperlink>
      <w:r w:rsidRPr="00AD76B7">
        <w:rPr>
          <w:rFonts w:ascii="Verdana" w:eastAsia="Times New Roman" w:hAnsi="Verdana" w:cs="Times New Roman"/>
          <w:sz w:val="18"/>
          <w:szCs w:val="18"/>
        </w:rPr>
        <w:t xml:space="preserve"> (Goes to same place for routine care as for sick care)</w:t>
      </w:r>
    </w:p>
    <w:p w:rsidR="00AD76B7" w:rsidRPr="00AD76B7" w:rsidRDefault="00AD76B7" w:rsidP="00AD76B7">
      <w:pPr>
        <w:numPr>
          <w:ilvl w:val="0"/>
          <w:numId w:val="2"/>
        </w:numPr>
        <w:spacing w:before="120" w:after="120" w:line="240" w:lineRule="auto"/>
        <w:ind w:left="1080" w:right="360"/>
        <w:rPr>
          <w:rFonts w:ascii="Verdana" w:eastAsia="Times New Roman" w:hAnsi="Verdana" w:cs="Times New Roman"/>
          <w:sz w:val="18"/>
          <w:szCs w:val="18"/>
        </w:rPr>
      </w:pPr>
      <w:hyperlink r:id="rId22" w:anchor="YBARCARE" w:history="1">
        <w:r w:rsidRPr="00AD76B7">
          <w:rPr>
            <w:rFonts w:ascii="Verdana" w:eastAsia="Times New Roman" w:hAnsi="Verdana" w:cs="Times New Roman"/>
            <w:color w:val="0000FF"/>
            <w:sz w:val="18"/>
            <w:szCs w:val="18"/>
            <w:u w:val="single"/>
          </w:rPr>
          <w:t>YBARCARE</w:t>
        </w:r>
      </w:hyperlink>
      <w:r w:rsidRPr="00AD76B7">
        <w:rPr>
          <w:rFonts w:ascii="Verdana" w:eastAsia="Times New Roman" w:hAnsi="Verdana" w:cs="Times New Roman"/>
          <w:sz w:val="18"/>
          <w:szCs w:val="18"/>
        </w:rPr>
        <w:t xml:space="preserve"> (Needed but couldn't afford medical care, past 12 months)</w:t>
      </w:r>
    </w:p>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Variable: "YEAR"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05"/>
        <w:gridCol w:w="6699"/>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YEAR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Survey year</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YEAR is a four-digit variable reporting the calendar year (e.g., 2003) the survey was conducted and the data were collected. YEAR indicates the survey year reported on the household record.</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Technical Household Variables -- HOUSEHOLD</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4</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4</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This is a 4-digit numeric variable with 0 implied decimal places</w:t>
            </w: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Variable: "REGION"</w:t>
      </w:r>
    </w:p>
    <w:tbl>
      <w:tblPr>
        <w:tblW w:w="0" w:type="auto"/>
        <w:tblInd w:w="240" w:type="dxa"/>
        <w:tblCellMar>
          <w:left w:w="0" w:type="dxa"/>
          <w:right w:w="0" w:type="dxa"/>
        </w:tblCellMar>
        <w:tblLook w:val="04A0" w:firstRow="1" w:lastRow="0" w:firstColumn="1" w:lastColumn="0" w:noHBand="0" w:noVBand="1"/>
      </w:tblPr>
      <w:tblGrid>
        <w:gridCol w:w="1989"/>
        <w:gridCol w:w="7115"/>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REGION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Region of residence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REGION reports the region of the U.S. where the housing unit containing survey participants was located. The geographic information included in REGION was added during processing, rather than ascertained via questioning. REGION is the smallest geographic unit identified in the IPUMS NHIS data for 1985 forward. In 1968-1984, a limited number (under 30) metropolitan areas were also identified (METAREA).</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The four regions--Northeast, North Central/Midwest, South, and West--correspond to the U.S. regions recognized by the Census Bureau. Divisions and states included in the four regions are as follows:</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Northeast: New England Division (Maine, New Hampshire, Vermont, Massachusetts, Rhode Island, and Connecticut) and Middle Atlantic Division (New York, New Jersey, and Pennsylvania)</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lastRenderedPageBreak/>
              <w:t>North Central/Midwest: East North Central Division (Michigan, Ohio, Indiana, Illinois, Wisconsin) and West North Central Division (Minnesota, Iowa, Missouri, North Dakota, South Dakota, Kansas, and Nebraska)</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South: South Atlantic Division (Delaware, Maryland, District of Columbia, Virginia, West Virginia, North Carolina, South Carolina, Georgia, and Florida), East South Central Division (Kentucky, Tennessee, Mississippi, and Alabama), and West South Central Division (Texas, Arkansas, Oklahoma, and Louisiana)</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West: Pacific Division (Washington, Alaska, Oregon, California, and Hawaii) and Mountain Division (Montana, Idaho, Wyoming, Colorado, New Mexico, Arizona, Utah, and Nevada).</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Geography Variables -- HOUSEHOLD</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5</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6</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Categories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2063"/>
            </w:tblGrid>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Label</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Northeast</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North Central/Midwest</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South</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West</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NO DATA IN ROUND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w:t>
                  </w:r>
                </w:p>
              </w:tc>
            </w:tr>
          </w:tbl>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Variable: "PERWEIGHT"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72"/>
        <w:gridCol w:w="6832"/>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PERWEIGHT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Final basic annual weight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 xml:space="preserve">PERWEIGHT is an IPUMS NHIS-constructed variable based on the Final Annual Weight in the original NHIS public use files. This weight should be used for many analyses at the person </w:t>
            </w:r>
            <w:r w:rsidRPr="00AD76B7">
              <w:rPr>
                <w:rFonts w:ascii="Verdana" w:eastAsia="Times New Roman" w:hAnsi="Verdana" w:cs="Times New Roman"/>
                <w:color w:val="000000"/>
                <w:sz w:val="18"/>
                <w:szCs w:val="18"/>
              </w:rPr>
              <w:lastRenderedPageBreak/>
              <w:t>level, particularly with variables for which information was collected about all family members. PERWEIGHT represents the inverse probability of selection into the sample, adjusted for non-response with post-stratification adjustments for age, race/ethnicity, and sex using the Census Bureau's population control totals. For each year, the sum of these weights is equal to that year's civilian, non-institutionalized U.S. population.</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There are instances, however, when the researcher should use a different person-level weight, particularly with supplements where a random adult or child family member was selected for questioning. For example, researchers analyzing variables from the sample adult/sample child supplements from 1997 forward should use SAMPWEIGHT rather than PERWEIGHT.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Users should review the documentation for extracted variables--most notably the "Weights" section toward the top of each variable description--to ascertain which weight is the appropriate choice for a given survey year. See the User Notes [URL omitted from DDI.] on the use of sampling weights for additional information.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Technical Person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7</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18</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12</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PERWEIGHT is a 12-digit numeric variable.</w:t>
            </w: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Variable: "SAMPWEIGHT"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74"/>
        <w:gridCol w:w="6830"/>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SAMPWEIGHT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Sample Person Weight</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SAMPWEIGHT is an IPUMS NHIS-constructed variable that represents, with a few exceptions, the random selection of a sample person in the household to complete a supplement survey. (The exceptions to this generalization are the 1983 health insurance supplement and 1993 health insurance, access to care, and family resources supplements, which were asked of all persons in the second half of the year.)</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For survey years 1997 forward, SAMPWEIGHT is based on the Final Annual Sample Adult and Sample Child Weights in the original NHIS public use files. This weight should be used with variables taken from the sample adult or sample child supplements for 1997 on (as indicated by the supplement title in the "Source" section toward the top of each variable description).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SAMPWEIGHT also contains the sampling weights for a subset of the pre-1997 supplements, for which the definition of a sample person, and the rules governing the section of sample persons, are less consistent. The universe statements for SAMPWEIGHT document who was included in the supplements requiring use of this weight on a year-by-year basis. SAMPWEIGHT consistently represents the inverse probability of selection into a supplement, adjusted for non-response with additional post-stratification adjustments for age, </w:t>
            </w:r>
            <w:r w:rsidRPr="00AD76B7">
              <w:rPr>
                <w:rFonts w:ascii="Verdana" w:eastAsia="Times New Roman" w:hAnsi="Verdana" w:cs="Times New Roman"/>
                <w:color w:val="000000"/>
                <w:sz w:val="18"/>
                <w:szCs w:val="18"/>
              </w:rPr>
              <w:br/>
              <w:t>race/ethnicity, and sex using the Census Bureau's population control totals.</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lastRenderedPageBreak/>
              <w:br/>
              <w:t>Users should review the documentation for extracted variables--most notably the "Weights" section toward the top of each variable description--to ascertain which weight is the appropriate choice for a given survey year. See the User Notes [URL omitted from DDI.] on the use of sampling weights for additional information.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Technical Person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19</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27</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9</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br/>
              <w:t>SAMPWEIGHT is a 9-digit numeric variable.</w:t>
            </w: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Variable: "AGE"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78"/>
        <w:gridCol w:w="6826"/>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AGE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Age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AGE reports the individual's age, in years since last birthday. Age is not coded as "unknown" for any persons included in the IPUMS NHIS data. As the public use file's codebooks for 1998 forward state, "Because age is an important variable for instrument check items and in developing the weights, all respondents must have data on age."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Core Demographic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28</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29</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2</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AGE is a 2-digit-numeric variable.</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85: Top code for 85 years or older </w:t>
            </w:r>
            <w:r w:rsidRPr="00AD76B7">
              <w:rPr>
                <w:rFonts w:ascii="Verdana" w:eastAsia="Times New Roman" w:hAnsi="Verdana" w:cs="Times New Roman"/>
                <w:color w:val="000000"/>
                <w:sz w:val="18"/>
                <w:szCs w:val="18"/>
              </w:rPr>
              <w:br/>
              <w:t xml:space="preserve">90: Top code for 90 years or older </w:t>
            </w:r>
            <w:r w:rsidRPr="00AD76B7">
              <w:rPr>
                <w:rFonts w:ascii="Verdana" w:eastAsia="Times New Roman" w:hAnsi="Verdana" w:cs="Times New Roman"/>
                <w:color w:val="000000"/>
                <w:sz w:val="18"/>
                <w:szCs w:val="18"/>
              </w:rPr>
              <w:br/>
              <w:t>99: Missing</w:t>
            </w: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Variable: "SEX"</w:t>
      </w:r>
    </w:p>
    <w:tbl>
      <w:tblPr>
        <w:tblW w:w="0" w:type="auto"/>
        <w:tblInd w:w="240" w:type="dxa"/>
        <w:tblCellMar>
          <w:left w:w="0" w:type="dxa"/>
          <w:right w:w="0" w:type="dxa"/>
        </w:tblCellMar>
        <w:tblLook w:val="04A0" w:firstRow="1" w:lastRow="0" w:firstColumn="1" w:lastColumn="0" w:noHBand="0" w:noVBand="1"/>
      </w:tblPr>
      <w:tblGrid>
        <w:gridCol w:w="3132"/>
        <w:gridCol w:w="5919"/>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SEX</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Sex</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SEX indicates whether the person was male or female.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Core Demographic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30</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30</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Categories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986"/>
            </w:tblGrid>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Label</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Male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Female</w:t>
                  </w:r>
                </w:p>
              </w:tc>
            </w:tr>
          </w:tbl>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t>Variable: "RACEA"</w:t>
      </w:r>
    </w:p>
    <w:tbl>
      <w:tblPr>
        <w:tblW w:w="0" w:type="auto"/>
        <w:tblInd w:w="240" w:type="dxa"/>
        <w:tblCellMar>
          <w:left w:w="0" w:type="dxa"/>
          <w:right w:w="0" w:type="dxa"/>
        </w:tblCellMar>
        <w:tblLook w:val="04A0" w:firstRow="1" w:lastRow="0" w:firstColumn="1" w:lastColumn="0" w:noHBand="0" w:noVBand="1"/>
      </w:tblPr>
      <w:tblGrid>
        <w:gridCol w:w="1989"/>
        <w:gridCol w:w="7115"/>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RACEA</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Main Racial Background (Pre-1997 Revised OMB Standards), self-reported or interviewer reported</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RACEA incorporates information from RACEID and RACESR. Accordingly, RACEA reports, for 1968-1977, the interviewer-identified race of all persons, and for 1978 forward, the self-reported, main racial background of all persons using the pre-1997 Office of Management and Budget's (OMB's) Statistical Policy Directive No. 15 (Race and Ethnic Standards for Federal Statistics and Administrative Reporting). More information on the OMB's Directive 15 can be found at Standards for the Classification of Federal Data on Race and Ethnicity [URL omitted from DDI.].</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Ethnicity/Nativity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31</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33</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Categories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4526"/>
            </w:tblGrid>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Label</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100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White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200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Black/African-American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300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Aleut, Alaskan Native, or American Indian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Alaskan Native or American Indian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320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Alaskan Native/Eskimo</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330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Aleut</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340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American Indian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Asian or Pacific Islander</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Asian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Chinese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Filipino</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Korean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414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Vietnamese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Japanese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Asian Indian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Pacific Islander</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Hawaiian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Samoan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Guamanian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Asian or Pacific Islander</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Asian or Pacific Islander (1992-1995)</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Asian or Pacific Islander (1996)</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433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Asian or Pacific Islander (1997-1998)</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434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Asian (1999 forward)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 (1969-1977)</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 (1978)</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 (1979-1991)</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 (1992-1995)</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 (1996)</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 (1997-1998)</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570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Other Race (1999-2002)</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580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Primary Race not releasable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No Primary Race Selected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including Asian, excluding Black and White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including Asian and Black, excluding White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including Asian and White, excluding Black</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including Black, excluding Asian and White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including Black and White, excluding Asian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including White, excluding Asian and Black</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including Asian, White, and Black</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617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Multiple Race, excluding Asian, White, and Black</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900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970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Unknown-refused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980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Unknown-not ascertained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990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 (1997forward: Don't know)</w:t>
                  </w:r>
                </w:p>
              </w:tc>
            </w:tr>
          </w:tbl>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lastRenderedPageBreak/>
        <w:t>Variable: "USUALPL"</w:t>
      </w:r>
    </w:p>
    <w:tbl>
      <w:tblPr>
        <w:tblW w:w="0" w:type="auto"/>
        <w:tblInd w:w="240" w:type="dxa"/>
        <w:tblCellMar>
          <w:left w:w="0" w:type="dxa"/>
          <w:right w:w="0" w:type="dxa"/>
        </w:tblCellMar>
        <w:tblLook w:val="04A0" w:firstRow="1" w:lastRow="0" w:firstColumn="1" w:lastColumn="0" w:noHBand="0" w:noVBand="1"/>
      </w:tblPr>
      <w:tblGrid>
        <w:gridCol w:w="1991"/>
        <w:gridCol w:w="7113"/>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USUALPL</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Has usual place for medical care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USUALPL indicates whether individuals have a place (or more than one place) that they usually go when they are sick or need advice about their health.</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Text from the Field Representative's Manual for 1997 (which was not routinely read to respondents) clarified this inquiry by noting, "This is not necessarily the doctor most recently contacted. (For example, the most recent contact may have been with a specialist never seen before.) Additionally, it need not be a doctor or clinic the Sample Adult has ever contacted. In this case, the question refers to the doctor or place the Sample Adult would contact if he/she is sick or needs advice about his/her own health."</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Access to Care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34</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34</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Categories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2543"/>
            </w:tblGrid>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Label</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NIU</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There is no place or No</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Yes, has a usual place or Yes</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There is more than one place</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Unknown-refused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Unknown-not ascertained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Unknown-don't know</w:t>
                  </w:r>
                </w:p>
              </w:tc>
            </w:tr>
          </w:tbl>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lastRenderedPageBreak/>
        <w:t>Variable: "ROUTCARE"</w:t>
      </w:r>
    </w:p>
    <w:tbl>
      <w:tblPr>
        <w:tblW w:w="0" w:type="auto"/>
        <w:tblInd w:w="240" w:type="dxa"/>
        <w:tblCellMar>
          <w:left w:w="0" w:type="dxa"/>
          <w:right w:w="0" w:type="dxa"/>
        </w:tblCellMar>
        <w:tblLook w:val="04A0" w:firstRow="1" w:lastRow="0" w:firstColumn="1" w:lastColumn="0" w:noHBand="0" w:noVBand="1"/>
      </w:tblPr>
      <w:tblGrid>
        <w:gridCol w:w="1991"/>
        <w:gridCol w:w="7113"/>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ROUTCARE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Goes to same place for routine care as for sick care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 xml:space="preserve">ROUTCARE indicates whether the place sample adults and sample children usually went for routine or preventive care was the same place they usually went to when sick or when they needed advice about their health (see also USUALPL). As examples of routine care, the question for sample adults mentioned "a physical examination or checkup"; the question for sample children mentioned "a physical examination or well baby/child check-ups." </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The Field Representative's Manual defined "routine or preventive care" as "a health procedure or series of health procedures done to help a person avoid illness or to detect problems early" (for 1997) or as "a doctor visit or health procedure to prevent illness or to detect problems early, such as immunization or a physical exam" (for 1998 forward).</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The Manual consistently defined "a general physical exam or check-up" as "an examination not for a specific condition or problem. This may include the following: a periodic health examination, a complete medical examination, an annual health </w:t>
            </w:r>
            <w:r w:rsidRPr="00AD76B7">
              <w:rPr>
                <w:rFonts w:ascii="Verdana" w:eastAsia="Times New Roman" w:hAnsi="Verdana" w:cs="Times New Roman"/>
                <w:color w:val="000000"/>
                <w:sz w:val="18"/>
                <w:szCs w:val="18"/>
              </w:rPr>
              <w:lastRenderedPageBreak/>
              <w:t>check-up or a comprehensive physical examination. It does NOT include dental exams and vision tests." These definitions were not routinely shared with respondents.</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Access to Care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35</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35</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Categories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2283"/>
            </w:tblGrid>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Label</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NIU</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No</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Yes</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Unknown-refused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Unknown-not ascertained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Unknown-don't know</w:t>
                  </w:r>
                </w:p>
              </w:tc>
            </w:tr>
          </w:tbl>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r>
    </w:tbl>
    <w:p w:rsidR="00AD76B7" w:rsidRPr="00AD76B7" w:rsidRDefault="00AD76B7" w:rsidP="00AD76B7">
      <w:pPr>
        <w:spacing w:line="240" w:lineRule="auto"/>
        <w:ind w:left="528" w:right="528"/>
        <w:outlineLvl w:val="2"/>
        <w:rPr>
          <w:rFonts w:ascii="Verdana" w:eastAsia="Times New Roman" w:hAnsi="Verdana" w:cs="Times New Roman"/>
          <w:b/>
          <w:bCs/>
          <w:sz w:val="24"/>
          <w:szCs w:val="24"/>
        </w:rPr>
      </w:pPr>
      <w:r w:rsidRPr="00AD76B7">
        <w:rPr>
          <w:rFonts w:ascii="Verdana" w:eastAsia="Times New Roman" w:hAnsi="Verdana" w:cs="Times New Roman"/>
          <w:b/>
          <w:bCs/>
          <w:sz w:val="24"/>
          <w:szCs w:val="24"/>
        </w:rPr>
        <w:lastRenderedPageBreak/>
        <w:t>Variable: "YBARCARE"</w:t>
      </w:r>
    </w:p>
    <w:tbl>
      <w:tblPr>
        <w:tblW w:w="0" w:type="auto"/>
        <w:tblInd w:w="240" w:type="dxa"/>
        <w:tblCellMar>
          <w:left w:w="0" w:type="dxa"/>
          <w:right w:w="0" w:type="dxa"/>
        </w:tblCellMar>
        <w:tblLook w:val="04A0" w:firstRow="1" w:lastRow="0" w:firstColumn="1" w:lastColumn="0" w:noHBand="0" w:noVBand="1"/>
      </w:tblPr>
      <w:tblGrid>
        <w:gridCol w:w="1995"/>
        <w:gridCol w:w="7109"/>
      </w:tblGrid>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YBARCARE</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Needed but couldn't afford medical care, past 12 months</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YBARCARE indicates whether, at any time during the past 12 months, individuals needed medical care but did not get it because they could not afford it. Respondents were told not to include dental care when answering this question.</w:t>
            </w:r>
            <w:r w:rsidRPr="00AD76B7">
              <w:rPr>
                <w:rFonts w:ascii="Verdana" w:eastAsia="Times New Roman" w:hAnsi="Verdana" w:cs="Times New Roman"/>
                <w:color w:val="000000"/>
                <w:sz w:val="18"/>
                <w:szCs w:val="18"/>
              </w:rPr>
              <w:br/>
            </w:r>
            <w:r w:rsidRPr="00AD76B7">
              <w:rPr>
                <w:rFonts w:ascii="Verdana" w:eastAsia="Times New Roman" w:hAnsi="Verdana" w:cs="Times New Roman"/>
                <w:color w:val="000000"/>
                <w:sz w:val="18"/>
                <w:szCs w:val="18"/>
              </w:rPr>
              <w:br/>
              <w:t xml:space="preserve">For 1997 forward, the survey also collected information about whether, at any time during the past twelve months, sample adults and sample children needed but did not get specific types of medical care because they could not afford it. The specific types of </w:t>
            </w:r>
            <w:r w:rsidRPr="00AD76B7">
              <w:rPr>
                <w:rFonts w:ascii="Verdana" w:eastAsia="Times New Roman" w:hAnsi="Verdana" w:cs="Times New Roman"/>
                <w:color w:val="000000"/>
                <w:sz w:val="18"/>
                <w:szCs w:val="18"/>
              </w:rPr>
              <w:lastRenderedPageBreak/>
              <w:t>medical care foregone for financial reasons that the survey identified were mental health care or counseling (YBARMENTAL, prescription medicines (YBARMEDS), eyeglasses (YBARGLASS), dental care, including check-ups (YBARDENTAL, available for 1999 forward), follow-up care (YBARFOLLOW, available for 2011 forward), and specialist care (YBARSPECL, available for 2011 forward).</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Access to Care Variables -- PERSON</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36</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36</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1</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numeric</w:t>
            </w:r>
          </w:p>
        </w:tc>
      </w:tr>
      <w:tr w:rsidR="00AD76B7" w:rsidRPr="00AD76B7" w:rsidT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sz w:val="18"/>
                <w:szCs w:val="18"/>
              </w:rPr>
            </w:pPr>
            <w:r w:rsidRPr="00AD76B7">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r w:rsidRPr="00AD76B7">
              <w:rPr>
                <w:rFonts w:ascii="Verdana" w:eastAsia="Times New Roman" w:hAnsi="Verdana" w:cs="Times New Roman"/>
                <w:color w:val="000000"/>
                <w:sz w:val="18"/>
                <w:szCs w:val="18"/>
              </w:rPr>
              <w:t>0</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after="0" w:line="240" w:lineRule="auto"/>
              <w:rPr>
                <w:rFonts w:ascii="Verdana" w:eastAsia="Times New Roman" w:hAnsi="Verdana" w:cs="Times New Roman"/>
                <w:b/>
                <w:bCs/>
                <w:sz w:val="18"/>
                <w:szCs w:val="18"/>
              </w:rPr>
            </w:pPr>
            <w:r w:rsidRPr="00AD76B7">
              <w:rPr>
                <w:rFonts w:ascii="Verdana" w:eastAsia="Times New Roman" w:hAnsi="Verdana" w:cs="Times New Roman"/>
                <w:b/>
                <w:bCs/>
                <w:sz w:val="18"/>
                <w:szCs w:val="18"/>
              </w:rPr>
              <w:t>Categories</w:t>
            </w:r>
          </w:p>
        </w:tc>
      </w:tr>
      <w:tr w:rsidR="00AD76B7" w:rsidRPr="00AD76B7" w:rsidTr="00AD76B7">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2283"/>
            </w:tblGrid>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jc w:val="center"/>
                    <w:rPr>
                      <w:rFonts w:ascii="Verdana" w:eastAsia="Times New Roman" w:hAnsi="Verdana" w:cs="Times New Roman"/>
                      <w:b/>
                      <w:bCs/>
                      <w:sz w:val="14"/>
                      <w:szCs w:val="14"/>
                    </w:rPr>
                  </w:pPr>
                  <w:r w:rsidRPr="00AD76B7">
                    <w:rPr>
                      <w:rFonts w:ascii="Verdana" w:eastAsia="Times New Roman" w:hAnsi="Verdana" w:cs="Times New Roman"/>
                      <w:b/>
                      <w:bCs/>
                      <w:sz w:val="14"/>
                      <w:szCs w:val="14"/>
                    </w:rPr>
                    <w:t>Label</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lastRenderedPageBreak/>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No</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Yes</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Unknown-refused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Unknown-not ascertained</w:t>
                  </w:r>
                </w:p>
              </w:tc>
            </w:tr>
            <w:tr w:rsidR="00AD76B7" w:rsidRPr="00AD76B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D76B7" w:rsidRPr="00AD76B7" w:rsidRDefault="00AD76B7" w:rsidP="00AD76B7">
                  <w:pPr>
                    <w:spacing w:before="240" w:after="240" w:line="240" w:lineRule="auto"/>
                    <w:rPr>
                      <w:rFonts w:ascii="Verdana" w:eastAsia="Times New Roman" w:hAnsi="Verdana" w:cs="Times New Roman"/>
                      <w:sz w:val="14"/>
                      <w:szCs w:val="14"/>
                    </w:rPr>
                  </w:pPr>
                  <w:r w:rsidRPr="00AD76B7">
                    <w:rPr>
                      <w:rFonts w:ascii="Verdana" w:eastAsia="Times New Roman" w:hAnsi="Verdana" w:cs="Times New Roman"/>
                      <w:sz w:val="14"/>
                      <w:szCs w:val="14"/>
                    </w:rPr>
                    <w:t>Unknown-don't know</w:t>
                  </w:r>
                </w:p>
              </w:tc>
            </w:tr>
          </w:tbl>
          <w:p w:rsidR="00AD76B7" w:rsidRPr="00AD76B7" w:rsidRDefault="00AD76B7" w:rsidP="00AD76B7">
            <w:pPr>
              <w:spacing w:before="240" w:after="240" w:line="240" w:lineRule="auto"/>
              <w:ind w:left="240" w:right="240"/>
              <w:rPr>
                <w:rFonts w:ascii="Verdana" w:eastAsia="Times New Roman" w:hAnsi="Verdana" w:cs="Times New Roman"/>
                <w:color w:val="000000"/>
                <w:sz w:val="18"/>
                <w:szCs w:val="18"/>
              </w:rPr>
            </w:pPr>
          </w:p>
        </w:tc>
      </w:tr>
    </w:tbl>
    <w:p w:rsidR="00AD76B7" w:rsidRDefault="00AD76B7">
      <w:bookmarkStart w:id="0" w:name="_GoBack"/>
      <w:bookmarkEnd w:id="0"/>
    </w:p>
    <w:sectPr w:rsidR="00AD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11F"/>
    <w:multiLevelType w:val="multilevel"/>
    <w:tmpl w:val="1EC0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A7D32"/>
    <w:multiLevelType w:val="multilevel"/>
    <w:tmpl w:val="7544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B7"/>
    <w:rsid w:val="00AD76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ED42E-E4C5-44E2-BDF3-09E84DC4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76B7"/>
    <w:pPr>
      <w:spacing w:before="240" w:after="240" w:line="240" w:lineRule="auto"/>
      <w:ind w:left="240" w:right="240"/>
      <w:jc w:val="cente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76B7"/>
    <w:pPr>
      <w:spacing w:before="240" w:after="240" w:line="240" w:lineRule="auto"/>
      <w:ind w:left="240" w:right="240"/>
      <w:outlineLvl w:val="1"/>
    </w:pPr>
    <w:rPr>
      <w:rFonts w:ascii="Times New Roman" w:eastAsia="Times New Roman" w:hAnsi="Times New Roman" w:cs="Times New Roman"/>
      <w:b/>
      <w:bCs/>
      <w:sz w:val="38"/>
      <w:szCs w:val="38"/>
    </w:rPr>
  </w:style>
  <w:style w:type="paragraph" w:styleId="Heading3">
    <w:name w:val="heading 3"/>
    <w:basedOn w:val="Normal"/>
    <w:link w:val="Heading3Char"/>
    <w:uiPriority w:val="9"/>
    <w:qFormat/>
    <w:rsid w:val="00AD76B7"/>
    <w:pPr>
      <w:spacing w:before="48" w:after="48" w:line="240" w:lineRule="auto"/>
      <w:ind w:left="48" w:right="48"/>
      <w:outlineLvl w:val="2"/>
    </w:pPr>
    <w:rPr>
      <w:rFonts w:ascii="Times New Roman" w:eastAsia="Times New Roman" w:hAnsi="Times New Roman" w:cs="Times New Roman"/>
      <w:b/>
      <w:bCs/>
      <w:sz w:val="38"/>
      <w:szCs w:val="38"/>
    </w:rPr>
  </w:style>
  <w:style w:type="paragraph" w:styleId="Heading4">
    <w:name w:val="heading 4"/>
    <w:basedOn w:val="Normal"/>
    <w:link w:val="Heading4Char"/>
    <w:uiPriority w:val="9"/>
    <w:qFormat/>
    <w:rsid w:val="00AD76B7"/>
    <w:pPr>
      <w:spacing w:before="48" w:after="48" w:line="240" w:lineRule="auto"/>
      <w:ind w:left="48" w:right="48"/>
      <w:outlineLvl w:val="3"/>
    </w:pPr>
    <w:rPr>
      <w:rFonts w:ascii="Times New Roman" w:eastAsia="Times New Roman" w:hAnsi="Times New Roman" w:cs="Times New Roman"/>
      <w:b/>
      <w:bCs/>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6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6B7"/>
    <w:rPr>
      <w:rFonts w:ascii="Times New Roman" w:eastAsia="Times New Roman" w:hAnsi="Times New Roman" w:cs="Times New Roman"/>
      <w:b/>
      <w:bCs/>
      <w:sz w:val="38"/>
      <w:szCs w:val="38"/>
    </w:rPr>
  </w:style>
  <w:style w:type="character" w:customStyle="1" w:styleId="Heading3Char">
    <w:name w:val="Heading 3 Char"/>
    <w:basedOn w:val="DefaultParagraphFont"/>
    <w:link w:val="Heading3"/>
    <w:uiPriority w:val="9"/>
    <w:rsid w:val="00AD76B7"/>
    <w:rPr>
      <w:rFonts w:ascii="Times New Roman" w:eastAsia="Times New Roman" w:hAnsi="Times New Roman" w:cs="Times New Roman"/>
      <w:b/>
      <w:bCs/>
      <w:sz w:val="38"/>
      <w:szCs w:val="38"/>
    </w:rPr>
  </w:style>
  <w:style w:type="character" w:customStyle="1" w:styleId="Heading4Char">
    <w:name w:val="Heading 4 Char"/>
    <w:basedOn w:val="DefaultParagraphFont"/>
    <w:link w:val="Heading4"/>
    <w:uiPriority w:val="9"/>
    <w:rsid w:val="00AD76B7"/>
    <w:rPr>
      <w:rFonts w:ascii="Times New Roman" w:eastAsia="Times New Roman" w:hAnsi="Times New Roman" w:cs="Times New Roman"/>
      <w:b/>
      <w:bCs/>
      <w:sz w:val="38"/>
      <w:szCs w:val="38"/>
    </w:rPr>
  </w:style>
  <w:style w:type="character" w:styleId="Emphasis">
    <w:name w:val="Emphasis"/>
    <w:basedOn w:val="DefaultParagraphFont"/>
    <w:uiPriority w:val="20"/>
    <w:qFormat/>
    <w:rsid w:val="00AD76B7"/>
    <w:rPr>
      <w:i/>
      <w:iCs/>
    </w:rPr>
  </w:style>
  <w:style w:type="paragraph" w:customStyle="1" w:styleId="msonormal0">
    <w:name w:val="msonormal"/>
    <w:basedOn w:val="Normal"/>
    <w:rsid w:val="00AD76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ction">
    <w:name w:val="nav_section"/>
    <w:basedOn w:val="Normal"/>
    <w:rsid w:val="00AD76B7"/>
    <w:pPr>
      <w:spacing w:before="120" w:after="120" w:line="240" w:lineRule="auto"/>
      <w:ind w:left="120" w:right="120"/>
    </w:pPr>
    <w:rPr>
      <w:rFonts w:ascii="Times New Roman" w:eastAsia="Times New Roman" w:hAnsi="Times New Roman" w:cs="Times New Roman"/>
      <w:sz w:val="29"/>
      <w:szCs w:val="29"/>
    </w:rPr>
  </w:style>
  <w:style w:type="paragraph" w:customStyle="1" w:styleId="navlabel">
    <w:name w:val="nav_label"/>
    <w:basedOn w:val="Normal"/>
    <w:rsid w:val="00AD76B7"/>
    <w:pPr>
      <w:spacing w:before="240" w:after="240" w:line="240" w:lineRule="auto"/>
      <w:ind w:left="240" w:right="240"/>
    </w:pPr>
    <w:rPr>
      <w:rFonts w:ascii="Times New Roman" w:eastAsia="Times New Roman" w:hAnsi="Times New Roman" w:cs="Times New Roman"/>
      <w:b/>
      <w:bCs/>
      <w:sz w:val="29"/>
      <w:szCs w:val="29"/>
    </w:rPr>
  </w:style>
  <w:style w:type="paragraph" w:customStyle="1" w:styleId="heading">
    <w:name w:val="heading"/>
    <w:basedOn w:val="Normal"/>
    <w:rsid w:val="00AD76B7"/>
    <w:pPr>
      <w:shd w:val="clear" w:color="auto" w:fill="EEEEEE"/>
      <w:spacing w:before="120" w:after="120" w:line="240" w:lineRule="auto"/>
      <w:ind w:left="120" w:right="120"/>
    </w:pPr>
    <w:rPr>
      <w:rFonts w:ascii="Times New Roman" w:eastAsia="Times New Roman" w:hAnsi="Times New Roman" w:cs="Times New Roman"/>
      <w:sz w:val="29"/>
      <w:szCs w:val="29"/>
    </w:rPr>
  </w:style>
  <w:style w:type="paragraph" w:customStyle="1" w:styleId="tableheading">
    <w:name w:val="table_heading"/>
    <w:basedOn w:val="Normal"/>
    <w:rsid w:val="00AD76B7"/>
    <w:pPr>
      <w:pBdr>
        <w:top w:val="single" w:sz="6" w:space="12" w:color="auto"/>
        <w:left w:val="single" w:sz="6" w:space="12" w:color="auto"/>
        <w:bottom w:val="single" w:sz="6" w:space="12" w:color="auto"/>
        <w:right w:val="single" w:sz="6" w:space="12" w:color="auto"/>
      </w:pBdr>
      <w:spacing w:before="120" w:after="120" w:line="240" w:lineRule="auto"/>
      <w:ind w:left="120" w:right="120"/>
    </w:pPr>
    <w:rPr>
      <w:rFonts w:ascii="Times New Roman" w:eastAsia="Times New Roman" w:hAnsi="Times New Roman" w:cs="Times New Roman"/>
      <w:b/>
      <w:bCs/>
      <w:sz w:val="29"/>
      <w:szCs w:val="29"/>
    </w:rPr>
  </w:style>
  <w:style w:type="paragraph" w:customStyle="1" w:styleId="cats">
    <w:name w:val="cats"/>
    <w:basedOn w:val="Normal"/>
    <w:rsid w:val="00AD76B7"/>
    <w:pPr>
      <w:spacing w:before="240" w:after="240" w:line="240" w:lineRule="auto"/>
      <w:ind w:left="240" w:right="240"/>
    </w:pPr>
    <w:rPr>
      <w:rFonts w:ascii="Times New Roman" w:eastAsia="Times New Roman" w:hAnsi="Times New Roman" w:cs="Times New Roman"/>
      <w:sz w:val="19"/>
      <w:szCs w:val="19"/>
    </w:rPr>
  </w:style>
  <w:style w:type="paragraph" w:customStyle="1" w:styleId="majorsection">
    <w:name w:val="major_section"/>
    <w:basedOn w:val="Normal"/>
    <w:rsid w:val="00AD76B7"/>
    <w:pPr>
      <w:pBdr>
        <w:top w:val="single" w:sz="6" w:space="0" w:color="AAAAAA"/>
        <w:left w:val="single" w:sz="6" w:space="0" w:color="AAAAAA"/>
        <w:bottom w:val="single" w:sz="6" w:space="0" w:color="AAAAAA"/>
        <w:right w:val="single" w:sz="6" w:space="0" w:color="AAAAAA"/>
      </w:pBdr>
      <w:spacing w:before="240" w:after="240" w:line="240" w:lineRule="auto"/>
      <w:ind w:left="240" w:right="240"/>
    </w:pPr>
    <w:rPr>
      <w:rFonts w:ascii="Times New Roman" w:eastAsia="Times New Roman" w:hAnsi="Times New Roman" w:cs="Times New Roman"/>
      <w:sz w:val="29"/>
      <w:szCs w:val="29"/>
    </w:rPr>
  </w:style>
  <w:style w:type="paragraph" w:customStyle="1" w:styleId="group">
    <w:name w:val="group"/>
    <w:basedOn w:val="Normal"/>
    <w:rsid w:val="00AD76B7"/>
    <w:pPr>
      <w:spacing w:before="240" w:after="240" w:line="240" w:lineRule="auto"/>
      <w:ind w:left="240" w:right="240"/>
    </w:pPr>
    <w:rPr>
      <w:rFonts w:ascii="Times New Roman" w:eastAsia="Times New Roman" w:hAnsi="Times New Roman" w:cs="Times New Roman"/>
      <w:sz w:val="29"/>
      <w:szCs w:val="29"/>
    </w:rPr>
  </w:style>
  <w:style w:type="paragraph" w:customStyle="1" w:styleId="data">
    <w:name w:val="data"/>
    <w:basedOn w:val="Normal"/>
    <w:rsid w:val="00AD76B7"/>
    <w:pPr>
      <w:spacing w:before="240" w:after="240" w:line="240" w:lineRule="auto"/>
      <w:ind w:left="240" w:right="240"/>
    </w:pPr>
    <w:rPr>
      <w:rFonts w:ascii="Times New Roman" w:eastAsia="Times New Roman" w:hAnsi="Times New Roman" w:cs="Times New Roman"/>
      <w:sz w:val="29"/>
      <w:szCs w:val="29"/>
    </w:rPr>
  </w:style>
  <w:style w:type="paragraph" w:customStyle="1" w:styleId="mpclogo">
    <w:name w:val="mpc_logo"/>
    <w:basedOn w:val="Normal"/>
    <w:rsid w:val="00AD76B7"/>
    <w:pPr>
      <w:pBdr>
        <w:bottom w:val="single" w:sz="24" w:space="12" w:color="auto"/>
      </w:pBdr>
      <w:shd w:val="clear" w:color="auto" w:fill="9CC7EA"/>
      <w:spacing w:before="120" w:after="120" w:line="240" w:lineRule="auto"/>
      <w:ind w:left="120" w:right="120"/>
    </w:pPr>
    <w:rPr>
      <w:rFonts w:ascii="Times New Roman" w:eastAsia="Times New Roman" w:hAnsi="Times New Roman" w:cs="Times New Roman"/>
      <w:sz w:val="29"/>
      <w:szCs w:val="29"/>
    </w:rPr>
  </w:style>
  <w:style w:type="paragraph" w:customStyle="1" w:styleId="label">
    <w:name w:val="label"/>
    <w:basedOn w:val="Normal"/>
    <w:rsid w:val="00AD76B7"/>
    <w:pPr>
      <w:spacing w:before="120" w:after="120" w:line="240" w:lineRule="auto"/>
      <w:ind w:left="120" w:right="120"/>
    </w:pPr>
    <w:rPr>
      <w:rFonts w:ascii="Times New Roman" w:eastAsia="Times New Roman" w:hAnsi="Times New Roman" w:cs="Times New Roman"/>
      <w:sz w:val="29"/>
      <w:szCs w:val="29"/>
    </w:rPr>
  </w:style>
  <w:style w:type="paragraph" w:customStyle="1" w:styleId="value">
    <w:name w:val="value"/>
    <w:basedOn w:val="Normal"/>
    <w:rsid w:val="00AD76B7"/>
    <w:pPr>
      <w:spacing w:before="120" w:after="120" w:line="240" w:lineRule="auto"/>
      <w:ind w:left="120" w:right="120"/>
    </w:pPr>
    <w:rPr>
      <w:rFonts w:ascii="Times New Roman" w:eastAsia="Times New Roman" w:hAnsi="Times New Roman" w:cs="Times New Roman"/>
      <w:sz w:val="29"/>
      <w:szCs w:val="29"/>
    </w:rPr>
  </w:style>
  <w:style w:type="paragraph" w:customStyle="1" w:styleId="name">
    <w:name w:val="name"/>
    <w:basedOn w:val="Normal"/>
    <w:rsid w:val="00AD76B7"/>
    <w:pPr>
      <w:spacing w:before="120" w:after="120" w:line="240" w:lineRule="auto"/>
      <w:ind w:left="120" w:right="120"/>
    </w:pPr>
    <w:rPr>
      <w:rFonts w:ascii="Times New Roman" w:eastAsia="Times New Roman" w:hAnsi="Times New Roman" w:cs="Times New Roman"/>
      <w:sz w:val="29"/>
      <w:szCs w:val="29"/>
    </w:rPr>
  </w:style>
  <w:style w:type="paragraph" w:customStyle="1" w:styleId="label1">
    <w:name w:val="label1"/>
    <w:basedOn w:val="Normal"/>
    <w:rsid w:val="00AD76B7"/>
    <w:pPr>
      <w:pBdr>
        <w:top w:val="single" w:sz="6" w:space="12" w:color="auto"/>
        <w:left w:val="single" w:sz="6" w:space="12" w:color="auto"/>
        <w:bottom w:val="single" w:sz="6" w:space="12" w:color="auto"/>
        <w:right w:val="single" w:sz="6" w:space="12" w:color="auto"/>
      </w:pBdr>
      <w:spacing w:before="240" w:after="240" w:line="240" w:lineRule="auto"/>
      <w:ind w:left="240" w:right="240"/>
    </w:pPr>
    <w:rPr>
      <w:rFonts w:ascii="Times New Roman" w:eastAsia="Times New Roman" w:hAnsi="Times New Roman" w:cs="Times New Roman"/>
      <w:sz w:val="29"/>
      <w:szCs w:val="29"/>
    </w:rPr>
  </w:style>
  <w:style w:type="paragraph" w:customStyle="1" w:styleId="value1">
    <w:name w:val="value1"/>
    <w:basedOn w:val="Normal"/>
    <w:rsid w:val="00AD76B7"/>
    <w:pPr>
      <w:pBdr>
        <w:top w:val="single" w:sz="6" w:space="12" w:color="auto"/>
        <w:left w:val="single" w:sz="6" w:space="12" w:color="auto"/>
        <w:bottom w:val="single" w:sz="6" w:space="12" w:color="auto"/>
        <w:right w:val="single" w:sz="6" w:space="12" w:color="auto"/>
      </w:pBdr>
      <w:spacing w:before="240" w:after="240" w:line="240" w:lineRule="auto"/>
      <w:ind w:left="240" w:right="240"/>
    </w:pPr>
    <w:rPr>
      <w:rFonts w:ascii="Times New Roman" w:eastAsia="Times New Roman" w:hAnsi="Times New Roman" w:cs="Times New Roman"/>
      <w:color w:val="000000"/>
      <w:sz w:val="29"/>
      <w:szCs w:val="29"/>
    </w:rPr>
  </w:style>
  <w:style w:type="paragraph" w:customStyle="1" w:styleId="name1">
    <w:name w:val="name1"/>
    <w:basedOn w:val="Normal"/>
    <w:rsid w:val="00AD76B7"/>
    <w:pPr>
      <w:spacing w:before="100" w:beforeAutospacing="1" w:after="100" w:afterAutospacing="1" w:line="240" w:lineRule="auto"/>
    </w:pPr>
    <w:rPr>
      <w:rFonts w:ascii="Candara" w:eastAsia="Times New Roman" w:hAnsi="Candara" w:cs="Times New Roman"/>
      <w:color w:val="002779"/>
      <w:sz w:val="48"/>
      <w:szCs w:val="48"/>
    </w:rPr>
  </w:style>
  <w:style w:type="character" w:styleId="Hyperlink">
    <w:name w:val="Hyperlink"/>
    <w:basedOn w:val="DefaultParagraphFont"/>
    <w:uiPriority w:val="99"/>
    <w:semiHidden/>
    <w:unhideWhenUsed/>
    <w:rsid w:val="00AD76B7"/>
    <w:rPr>
      <w:color w:val="0000FF"/>
      <w:u w:val="single"/>
    </w:rPr>
  </w:style>
  <w:style w:type="character" w:styleId="FollowedHyperlink">
    <w:name w:val="FollowedHyperlink"/>
    <w:basedOn w:val="DefaultParagraphFont"/>
    <w:uiPriority w:val="99"/>
    <w:semiHidden/>
    <w:unhideWhenUsed/>
    <w:rsid w:val="00AD76B7"/>
    <w:rPr>
      <w:color w:val="800080"/>
      <w:u w:val="single"/>
    </w:rPr>
  </w:style>
  <w:style w:type="character" w:customStyle="1" w:styleId="abbr">
    <w:name w:val="abbr"/>
    <w:basedOn w:val="DefaultParagraphFont"/>
    <w:rsid w:val="00AD76B7"/>
  </w:style>
  <w:style w:type="character" w:customStyle="1" w:styleId="navlabel1">
    <w:name w:val="nav_label1"/>
    <w:basedOn w:val="DefaultParagraphFont"/>
    <w:rsid w:val="00AD76B7"/>
    <w:rPr>
      <w:b/>
      <w:bCs/>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446243">
      <w:bodyDiv w:val="1"/>
      <w:marLeft w:val="0"/>
      <w:marRight w:val="0"/>
      <w:marTop w:val="0"/>
      <w:marBottom w:val="0"/>
      <w:divBdr>
        <w:top w:val="none" w:sz="0" w:space="0" w:color="auto"/>
        <w:left w:val="none" w:sz="0" w:space="0" w:color="auto"/>
        <w:bottom w:val="none" w:sz="0" w:space="0" w:color="auto"/>
        <w:right w:val="none" w:sz="0" w:space="0" w:color="auto"/>
      </w:divBdr>
      <w:divsChild>
        <w:div w:id="570192856">
          <w:marLeft w:val="0"/>
          <w:marRight w:val="0"/>
          <w:marTop w:val="0"/>
          <w:marBottom w:val="0"/>
          <w:divBdr>
            <w:top w:val="none" w:sz="0" w:space="0" w:color="auto"/>
            <w:left w:val="none" w:sz="0" w:space="0" w:color="auto"/>
            <w:bottom w:val="none" w:sz="0" w:space="0" w:color="auto"/>
            <w:right w:val="none" w:sz="0" w:space="0" w:color="auto"/>
          </w:divBdr>
        </w:div>
        <w:div w:id="1202282825">
          <w:marLeft w:val="120"/>
          <w:marRight w:val="120"/>
          <w:marTop w:val="120"/>
          <w:marBottom w:val="120"/>
          <w:divBdr>
            <w:top w:val="none" w:sz="0" w:space="0" w:color="auto"/>
            <w:left w:val="none" w:sz="0" w:space="0" w:color="auto"/>
            <w:bottom w:val="single" w:sz="24" w:space="12" w:color="auto"/>
            <w:right w:val="none" w:sz="0" w:space="0" w:color="auto"/>
          </w:divBdr>
        </w:div>
        <w:div w:id="1427652570">
          <w:marLeft w:val="0"/>
          <w:marRight w:val="0"/>
          <w:marTop w:val="0"/>
          <w:marBottom w:val="0"/>
          <w:divBdr>
            <w:top w:val="none" w:sz="0" w:space="0" w:color="auto"/>
            <w:left w:val="none" w:sz="0" w:space="0" w:color="auto"/>
            <w:bottom w:val="none" w:sz="0" w:space="0" w:color="auto"/>
            <w:right w:val="none" w:sz="0" w:space="0" w:color="auto"/>
          </w:divBdr>
        </w:div>
        <w:div w:id="355693111">
          <w:marLeft w:val="0"/>
          <w:marRight w:val="0"/>
          <w:marTop w:val="0"/>
          <w:marBottom w:val="0"/>
          <w:divBdr>
            <w:top w:val="none" w:sz="0" w:space="0" w:color="auto"/>
            <w:left w:val="none" w:sz="0" w:space="0" w:color="auto"/>
            <w:bottom w:val="none" w:sz="0" w:space="0" w:color="auto"/>
            <w:right w:val="none" w:sz="0" w:space="0" w:color="auto"/>
          </w:divBdr>
        </w:div>
        <w:div w:id="182477541">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738557507">
              <w:marLeft w:val="240"/>
              <w:marRight w:val="240"/>
              <w:marTop w:val="240"/>
              <w:marBottom w:val="240"/>
              <w:divBdr>
                <w:top w:val="none" w:sz="0" w:space="0" w:color="auto"/>
                <w:left w:val="none" w:sz="0" w:space="0" w:color="auto"/>
                <w:bottom w:val="none" w:sz="0" w:space="0" w:color="auto"/>
                <w:right w:val="none" w:sz="0" w:space="0" w:color="auto"/>
              </w:divBdr>
            </w:div>
          </w:divsChild>
        </w:div>
        <w:div w:id="290668669">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680228932">
              <w:marLeft w:val="240"/>
              <w:marRight w:val="240"/>
              <w:marTop w:val="240"/>
              <w:marBottom w:val="240"/>
              <w:divBdr>
                <w:top w:val="none" w:sz="0" w:space="0" w:color="auto"/>
                <w:left w:val="none" w:sz="0" w:space="0" w:color="auto"/>
                <w:bottom w:val="none" w:sz="0" w:space="0" w:color="auto"/>
                <w:right w:val="none" w:sz="0" w:space="0" w:color="auto"/>
              </w:divBdr>
            </w:div>
            <w:div w:id="951866890">
              <w:marLeft w:val="240"/>
              <w:marRight w:val="240"/>
              <w:marTop w:val="240"/>
              <w:marBottom w:val="240"/>
              <w:divBdr>
                <w:top w:val="none" w:sz="0" w:space="0" w:color="auto"/>
                <w:left w:val="none" w:sz="0" w:space="0" w:color="auto"/>
                <w:bottom w:val="none" w:sz="0" w:space="0" w:color="auto"/>
                <w:right w:val="none" w:sz="0" w:space="0" w:color="auto"/>
              </w:divBdr>
            </w:div>
            <w:div w:id="1497306234">
              <w:marLeft w:val="240"/>
              <w:marRight w:val="240"/>
              <w:marTop w:val="240"/>
              <w:marBottom w:val="240"/>
              <w:divBdr>
                <w:top w:val="none" w:sz="0" w:space="0" w:color="auto"/>
                <w:left w:val="none" w:sz="0" w:space="0" w:color="auto"/>
                <w:bottom w:val="none" w:sz="0" w:space="0" w:color="auto"/>
                <w:right w:val="none" w:sz="0" w:space="0" w:color="auto"/>
              </w:divBdr>
            </w:div>
            <w:div w:id="276640542">
              <w:marLeft w:val="240"/>
              <w:marRight w:val="240"/>
              <w:marTop w:val="240"/>
              <w:marBottom w:val="240"/>
              <w:divBdr>
                <w:top w:val="none" w:sz="0" w:space="0" w:color="auto"/>
                <w:left w:val="none" w:sz="0" w:space="0" w:color="auto"/>
                <w:bottom w:val="none" w:sz="0" w:space="0" w:color="auto"/>
                <w:right w:val="none" w:sz="0" w:space="0" w:color="auto"/>
              </w:divBdr>
            </w:div>
          </w:divsChild>
        </w:div>
        <w:div w:id="611589923">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937903880">
              <w:marLeft w:val="240"/>
              <w:marRight w:val="240"/>
              <w:marTop w:val="240"/>
              <w:marBottom w:val="240"/>
              <w:divBdr>
                <w:top w:val="none" w:sz="0" w:space="0" w:color="auto"/>
                <w:left w:val="none" w:sz="0" w:space="0" w:color="auto"/>
                <w:bottom w:val="none" w:sz="0" w:space="0" w:color="auto"/>
                <w:right w:val="none" w:sz="0" w:space="0" w:color="auto"/>
              </w:divBdr>
            </w:div>
          </w:divsChild>
        </w:div>
        <w:div w:id="949972025">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449470870">
              <w:marLeft w:val="0"/>
              <w:marRight w:val="0"/>
              <w:marTop w:val="0"/>
              <w:marBottom w:val="0"/>
              <w:divBdr>
                <w:top w:val="none" w:sz="0" w:space="0" w:color="auto"/>
                <w:left w:val="none" w:sz="0" w:space="0" w:color="auto"/>
                <w:bottom w:val="none" w:sz="0" w:space="0" w:color="auto"/>
                <w:right w:val="none" w:sz="0" w:space="0" w:color="auto"/>
              </w:divBdr>
            </w:div>
            <w:div w:id="203715508">
              <w:marLeft w:val="240"/>
              <w:marRight w:val="240"/>
              <w:marTop w:val="240"/>
              <w:marBottom w:val="240"/>
              <w:divBdr>
                <w:top w:val="none" w:sz="0" w:space="0" w:color="auto"/>
                <w:left w:val="none" w:sz="0" w:space="0" w:color="auto"/>
                <w:bottom w:val="none" w:sz="0" w:space="0" w:color="auto"/>
                <w:right w:val="none" w:sz="0" w:space="0" w:color="auto"/>
              </w:divBdr>
            </w:div>
            <w:div w:id="2081822857">
              <w:marLeft w:val="240"/>
              <w:marRight w:val="240"/>
              <w:marTop w:val="240"/>
              <w:marBottom w:val="240"/>
              <w:divBdr>
                <w:top w:val="none" w:sz="0" w:space="0" w:color="auto"/>
                <w:left w:val="none" w:sz="0" w:space="0" w:color="auto"/>
                <w:bottom w:val="none" w:sz="0" w:space="0" w:color="auto"/>
                <w:right w:val="none" w:sz="0" w:space="0" w:color="auto"/>
              </w:divBdr>
            </w:div>
            <w:div w:id="1174685288">
              <w:marLeft w:val="240"/>
              <w:marRight w:val="240"/>
              <w:marTop w:val="240"/>
              <w:marBottom w:val="240"/>
              <w:divBdr>
                <w:top w:val="none" w:sz="0" w:space="0" w:color="auto"/>
                <w:left w:val="none" w:sz="0" w:space="0" w:color="auto"/>
                <w:bottom w:val="none" w:sz="0" w:space="0" w:color="auto"/>
                <w:right w:val="none" w:sz="0" w:space="0" w:color="auto"/>
              </w:divBdr>
            </w:div>
            <w:div w:id="856890104">
              <w:marLeft w:val="240"/>
              <w:marRight w:val="240"/>
              <w:marTop w:val="240"/>
              <w:marBottom w:val="240"/>
              <w:divBdr>
                <w:top w:val="none" w:sz="0" w:space="0" w:color="auto"/>
                <w:left w:val="none" w:sz="0" w:space="0" w:color="auto"/>
                <w:bottom w:val="none" w:sz="0" w:space="0" w:color="auto"/>
                <w:right w:val="none" w:sz="0" w:space="0" w:color="auto"/>
              </w:divBdr>
            </w:div>
            <w:div w:id="790054862">
              <w:marLeft w:val="240"/>
              <w:marRight w:val="240"/>
              <w:marTop w:val="240"/>
              <w:marBottom w:val="240"/>
              <w:divBdr>
                <w:top w:val="none" w:sz="0" w:space="0" w:color="auto"/>
                <w:left w:val="none" w:sz="0" w:space="0" w:color="auto"/>
                <w:bottom w:val="none" w:sz="0" w:space="0" w:color="auto"/>
                <w:right w:val="none" w:sz="0" w:space="0" w:color="auto"/>
              </w:divBdr>
            </w:div>
            <w:div w:id="1200703358">
              <w:marLeft w:val="240"/>
              <w:marRight w:val="240"/>
              <w:marTop w:val="240"/>
              <w:marBottom w:val="240"/>
              <w:divBdr>
                <w:top w:val="none" w:sz="0" w:space="0" w:color="auto"/>
                <w:left w:val="none" w:sz="0" w:space="0" w:color="auto"/>
                <w:bottom w:val="none" w:sz="0" w:space="0" w:color="auto"/>
                <w:right w:val="none" w:sz="0" w:space="0" w:color="auto"/>
              </w:divBdr>
            </w:div>
            <w:div w:id="252520752">
              <w:marLeft w:val="240"/>
              <w:marRight w:val="240"/>
              <w:marTop w:val="240"/>
              <w:marBottom w:val="240"/>
              <w:divBdr>
                <w:top w:val="none" w:sz="0" w:space="0" w:color="auto"/>
                <w:left w:val="none" w:sz="0" w:space="0" w:color="auto"/>
                <w:bottom w:val="none" w:sz="0" w:space="0" w:color="auto"/>
                <w:right w:val="none" w:sz="0" w:space="0" w:color="auto"/>
              </w:divBdr>
            </w:div>
            <w:div w:id="300305772">
              <w:marLeft w:val="240"/>
              <w:marRight w:val="240"/>
              <w:marTop w:val="240"/>
              <w:marBottom w:val="240"/>
              <w:divBdr>
                <w:top w:val="none" w:sz="0" w:space="0" w:color="auto"/>
                <w:left w:val="none" w:sz="0" w:space="0" w:color="auto"/>
                <w:bottom w:val="none" w:sz="0" w:space="0" w:color="auto"/>
                <w:right w:val="none" w:sz="0" w:space="0" w:color="auto"/>
              </w:divBdr>
            </w:div>
            <w:div w:id="1541162243">
              <w:marLeft w:val="240"/>
              <w:marRight w:val="240"/>
              <w:marTop w:val="240"/>
              <w:marBottom w:val="240"/>
              <w:divBdr>
                <w:top w:val="none" w:sz="0" w:space="0" w:color="auto"/>
                <w:left w:val="none" w:sz="0" w:space="0" w:color="auto"/>
                <w:bottom w:val="none" w:sz="0" w:space="0" w:color="auto"/>
                <w:right w:val="none" w:sz="0" w:space="0" w:color="auto"/>
              </w:divBdr>
            </w:div>
            <w:div w:id="1590234074">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is.ipums.org/nhis-action/downloads/extract_files/nhis_00007.xml" TargetMode="External"/><Relationship Id="rId13" Type="http://schemas.openxmlformats.org/officeDocument/2006/relationships/hyperlink" Target="https://nhis.ipums.org/nhis-action/downloads/extract_files/nhis_00007.xml" TargetMode="External"/><Relationship Id="rId18" Type="http://schemas.openxmlformats.org/officeDocument/2006/relationships/hyperlink" Target="https://nhis.ipums.org/nhis-action/downloads/extract_files/nhis_00007.xml" TargetMode="External"/><Relationship Id="rId3" Type="http://schemas.openxmlformats.org/officeDocument/2006/relationships/settings" Target="settings.xml"/><Relationship Id="rId21" Type="http://schemas.openxmlformats.org/officeDocument/2006/relationships/hyperlink" Target="https://nhis.ipums.org/nhis-action/downloads/extract_files/nhis_00007.xml" TargetMode="External"/><Relationship Id="rId7" Type="http://schemas.openxmlformats.org/officeDocument/2006/relationships/hyperlink" Target="https://nhis.ipums.org/nhis-action/downloads/extract_files/nhis_00007.xml" TargetMode="External"/><Relationship Id="rId12" Type="http://schemas.openxmlformats.org/officeDocument/2006/relationships/hyperlink" Target="http://www.nhis.ipums.org/" TargetMode="External"/><Relationship Id="rId17" Type="http://schemas.openxmlformats.org/officeDocument/2006/relationships/hyperlink" Target="https://nhis.ipums.org/nhis-action/downloads/extract_files/nhis_00007.xml" TargetMode="External"/><Relationship Id="rId2" Type="http://schemas.openxmlformats.org/officeDocument/2006/relationships/styles" Target="styles.xml"/><Relationship Id="rId16" Type="http://schemas.openxmlformats.org/officeDocument/2006/relationships/hyperlink" Target="https://nhis.ipums.org/nhis-action/downloads/extract_files/nhis_00007.xml" TargetMode="External"/><Relationship Id="rId20" Type="http://schemas.openxmlformats.org/officeDocument/2006/relationships/hyperlink" Target="https://nhis.ipums.org/nhis-action/downloads/extract_files/nhis_00007.xml" TargetMode="External"/><Relationship Id="rId1" Type="http://schemas.openxmlformats.org/officeDocument/2006/relationships/numbering" Target="numbering.xml"/><Relationship Id="rId6" Type="http://schemas.openxmlformats.org/officeDocument/2006/relationships/hyperlink" Target="https://nhis.ipums.org/nhis-action/downloads/extract_files/nhis_00007.xml" TargetMode="External"/><Relationship Id="rId11" Type="http://schemas.openxmlformats.org/officeDocument/2006/relationships/hyperlink" Target="http://pop.umn.edu" TargetMode="External"/><Relationship Id="rId24" Type="http://schemas.openxmlformats.org/officeDocument/2006/relationships/theme" Target="theme/theme1.xml"/><Relationship Id="rId5" Type="http://schemas.openxmlformats.org/officeDocument/2006/relationships/hyperlink" Target="javascript:history.go(-1)" TargetMode="External"/><Relationship Id="rId15" Type="http://schemas.openxmlformats.org/officeDocument/2006/relationships/hyperlink" Target="https://nhis.ipums.org/nhis-action/downloads/extract_files/nhis_00007.xml" TargetMode="External"/><Relationship Id="rId23" Type="http://schemas.openxmlformats.org/officeDocument/2006/relationships/fontTable" Target="fontTable.xml"/><Relationship Id="rId10" Type="http://schemas.openxmlformats.org/officeDocument/2006/relationships/hyperlink" Target="http://pop.umn.edu" TargetMode="External"/><Relationship Id="rId19" Type="http://schemas.openxmlformats.org/officeDocument/2006/relationships/hyperlink" Target="https://nhis.ipums.org/nhis-action/downloads/extract_files/nhis_00007.xml" TargetMode="External"/><Relationship Id="rId4" Type="http://schemas.openxmlformats.org/officeDocument/2006/relationships/webSettings" Target="webSettings.xml"/><Relationship Id="rId9" Type="http://schemas.openxmlformats.org/officeDocument/2006/relationships/hyperlink" Target="https://nhis.ipums.org/nhis-action/downloads/extract_files/nhis_00007.xml" TargetMode="External"/><Relationship Id="rId14" Type="http://schemas.openxmlformats.org/officeDocument/2006/relationships/hyperlink" Target="https://nhis.ipums.org/nhis-action/downloads/extract_files/nhis_00007.xml" TargetMode="External"/><Relationship Id="rId22" Type="http://schemas.openxmlformats.org/officeDocument/2006/relationships/hyperlink" Target="https://nhis.ipums.org/nhis-action/downloads/extract_files/nhis_00007.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Ahmed</dc:creator>
  <cp:keywords/>
  <dc:description/>
  <cp:lastModifiedBy>Saima Ahmed</cp:lastModifiedBy>
  <cp:revision>1</cp:revision>
  <dcterms:created xsi:type="dcterms:W3CDTF">2019-05-21T17:38:00Z</dcterms:created>
  <dcterms:modified xsi:type="dcterms:W3CDTF">2019-05-21T17:39:00Z</dcterms:modified>
</cp:coreProperties>
</file>