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JURE100055074  BGH  2. Strafsenat 20100113 2 StR 447/09 Beschluss § 20 StGB, § 224 StGB, § 241 StGB vorgehend LG Mühlhausen, 24. Juni 2009, Az: 120 Js 58726/08 - 1 Ks, Urteil   DEU Bundesrepublik Deutschland       Strafverfahren wegen Bedrohung und gefährlicher Körperverletzung: Prüfung der Schuldunfähigkeit bei hoher Blutalkoholkonzentration und nicht nachvollziehbarem Tatmotiv          Auf die Revision des Angeklagten wird das Urteil des Landgerichts Mühlhausen vom 24. Juni 2009 mit den Feststellungen aufgehoben.            Die Sache wird zu neuer Verhandlung und Entscheidung, auch über die Kosten des Rechtsmittels, an eine andere Strafkammer des Landgerichts zurückverwiesen.                 1   Das Landgericht hat den Angeklagten wegen Bedrohung und gefährlicher Körperverletzung zu einer Gesamtfreiheitsstrafe von drei Jahren verurteilt. Die Revision des Angeklagten hat mit der allgemeinen Sachrüge Erfolg.           2   1. Nach den Feststellungen spielten der Angeklagte, das spätere Tatopfer und ein Dritter am Tattag seit dem frühen Morgen im Haus des Geschädigten Karten und konsumierten dabei erhebliche Mengen Alkohol. Gegen 16.30 Uhr fütterte der Angeklagte eine fremde Katze aus der Nachbarschaft, worüber der Geschädigte seinen Unmut zum Ausdruck brachte. Daraufhin verließ der Angeklagte das Haus, holte aus dem Hof eine Axt und äußerte ins Wohnzimmer zurückkehrend gegenüber seinen Mitspielern, er werde sie totschlagen. Anschließend griff er, die Axt schwingend, den Geschädigten an, dem - von zwei Schlägen nur gestreift - leicht verletzt die Flucht zu einem Nachbarhaus gelang, von wo aus er die Polizei verständigte. Währenddessen setzte sich der Angeklagte wortlos zu dem dritten im Wohnzimmer verbliebenen Spieler und wartete auf das Eintreffen der Polizei. Eine ihm um 18.00 Uhr entnommene Blutprobe ergab eine BAK von 2,91 Promille.           3   2. Das Landgericht ist sachverständig beraten davon ausgegangen, der Angeklagte sei infolge des zuvor genossenen Alkohols aufgrund eines mittelgradigen Rausches nur erheblich vermindert in der Lage gewesen, sein Verhalten zu steuern. Mit der Frage einer möglichen Schuldunfähigkeit gemäß § 20 StGB hat sich die Strafkammer nicht auseinandergesetzt. Dies begegnet durchgreifenden rechtlichen Bedenken. Rückgerechnet auf den Tatzeitpunkt wies der Angeklagte - was das Landgericht nicht bedacht hat - eine BAK von 3,41 Promille auf. Bei einer solch hohen Blutalkoholkonzentration ist regelmäßig die Prüfung einer Aufhebung der Schuldfähigkeit veranlasst (Fischer, StGB 57. Aufl. § 20 Rdn. 19 ff. m.w.N.). Zu einer solchen Prüfung bestand hier auch Veranlassung im Hinblick auf das kaum nachvollziehbare Tatmotiv, das ungewöhnliche Nachtatverhalten und angesichts des Umstandes, dass der nicht vorbestrafte Angeklagte weder generell zu Wut- und Aggressionsausbrüchen neigt noch sonst für aggressive Entgleisungen bekannt ist (UA 9).           4   3. Die aufgezeigte Lückenhaftigkeit des Urteils führt zu dessen Aufhebung und Zurückverweisung. Der neue Tatrichter wird - sollte er erneut zu einer entsprechenden Verurteilung kommen - zu bedenken haben, dass bei Verhängung von einzelnen Geldstrafen, die in einer Gesamtstrafe aufgehen, neben der Anzahl der Tagessätze auch immer die Tagessatzhöhe festzusetzen ist (BGHSt 30, 93, 96; BGHR StGB § 54 Abs. 3 Tagessatzhöhe 1).            Rissing-van Saan                                      Fischer                                       Appl                                        Cierniak                                        Krehl             http://www.rechtsprechung-im-internet.de/jportal/?quelle=jlink&amp;docid=JURE100055074&amp;psml=bsjrsprod.psml&amp;max=true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