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28</w:t>
            </w:r>
            <w:r>
              <w:t xml:space="preserve"> J</w:t>
            </w:r>
            <w:r>
              <w:t>une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LTVIP2025TMID32000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Solution:</w:t>
      </w:r>
    </w:p>
    <w:p>
      <w:pPr>
        <w:pStyle w:val="style0"/>
        <w:spacing w:before="240" w:after="240"/>
        <w:rPr/>
      </w:pPr>
      <w:r>
        <w:t xml:space="preserve">The proposed solution for the Sustainable Smart </w:t>
      </w:r>
      <w:r>
        <w:t>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4099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>
        <w:trPr>
          <w:trHeight w:val="510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 Cities struggle with sustainability, citizen engagement, and real-time decision-making due to fragmented systems</w:t>
            </w:r>
          </w:p>
        </w:tc>
      </w:tr>
      <w:tr>
        <w:tblPrEx/>
        <w:trPr>
          <w:trHeight w:val="817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Build an AI assistant using IBM Granite LLM to provide smart services like policy summarization, forecasting, and eco-advice.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78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Combines LLMs with real-time city data for natural language interaction and personalized sustainability insights.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Empowers citizens, improves transparency, and promotes eco-friendly </w:t>
            </w:r>
            <w:r>
              <w:t>behavior</w:t>
            </w:r>
            <w:r>
              <w:t>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 Freemium for cities, premium analytics and APIs for enterprises and partners.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Modular, cloud-native design allows easy expansion across cities and domains.</w:t>
            </w:r>
          </w:p>
        </w:tc>
      </w:tr>
    </w:tbl>
    <w:p>
      <w:pPr>
        <w:pStyle w:val="style0"/>
        <w:spacing w:before="240" w:after="240"/>
        <w:rPr/>
      </w:pPr>
    </w:p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2"/>
    <w:basedOn w:val="style4097"/>
    <w:next w:val="style4098"/>
    <w:pPr/>
    <w:rPr/>
    <w:tblPr>
      <w:tblCellMar>
        <w:left w:w="108" w:type="dxa"/>
        <w:right w:w="108" w:type="dxa"/>
      </w:tblCellMar>
    </w:tblPr>
    <w:tcPr>
      <w:tcBorders/>
    </w:tcPr>
  </w:style>
  <w:style w:type="table" w:customStyle="1" w:styleId="style4099">
    <w:name w:val="_Style 13"/>
    <w:basedOn w:val="style4097"/>
    <w:next w:val="style4099"/>
    <w:pPr/>
    <w:rPr/>
    <w:tblPr>
      <w:tblCellMar>
        <w:left w:w="108" w:type="dxa"/>
        <w:right w:w="108" w:type="dxa"/>
      </w:tblCellMar>
    </w:tblPr>
    <w:tcPr>
      <w:tcBorders/>
    </w:tcPr>
  </w:style>
  <w:style w:type="character" w:customStyle="1" w:styleId="style4100">
    <w:name w:val="Header Char_57c63ad7-3dee-4723-80a2-dc90535b058c"/>
    <w:basedOn w:val="style65"/>
    <w:next w:val="style4100"/>
    <w:link w:val="style31"/>
    <w:uiPriority w:val="99"/>
  </w:style>
  <w:style w:type="character" w:customStyle="1" w:styleId="style4101">
    <w:name w:val="Footer Char_d95540e8-1452-4b47-a6d0-b3ae7d54c76f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179</Words>
  <Pages>2</Pages>
  <Characters>1182</Characters>
  <Application>WPS Office</Application>
  <DocSecurity>0</DocSecurity>
  <Paragraphs>52</Paragraphs>
  <ScaleCrop>false</ScaleCrop>
  <LinksUpToDate>false</LinksUpToDate>
  <CharactersWithSpaces>1338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2025-07-21T11:53:06Z</dcterms:created>
  <dc:creator>23481</dc:creator>
  <lastModifiedBy>211033MI</lastModifiedBy>
  <dcterms:modified xsi:type="dcterms:W3CDTF">2025-07-21T11:53:06Z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ad56574399154d72b651e0954ec6f692</vt:lpwstr>
  </property>
</Properties>
</file>