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SURAT SILK MILLS PVT LTD - FINANCIAL APPRAISAL DOSSIER</w:t>
      </w:r>
    </w:p>
    <w:p>
      <w:r>
        <w:t>Company Name: Surat Silk Mills Pvt Ltd</w:t>
      </w:r>
    </w:p>
    <w:p>
      <w:r>
        <w:t>Requested Loan Amount: Rs. 45,00,000 | Tenure: 60 Months | CIBIL: 715</w:t>
      </w:r>
    </w:p>
    <w:p>
      <w:r>
        <w:t>Facility Requested: Cent MSME Cash Credit Limit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Financial Metric (INR)</w:t>
            </w:r>
          </w:p>
        </w:tc>
        <w:tc>
          <w:tcPr>
            <w:tcW w:type="dxa" w:w="2160"/>
          </w:tcPr>
          <w:p>
            <w:r>
              <w:t>FY 2023-24</w:t>
            </w:r>
          </w:p>
        </w:tc>
        <w:tc>
          <w:tcPr>
            <w:tcW w:type="dxa" w:w="2160"/>
          </w:tcPr>
          <w:p>
            <w:r>
              <w:t>FY 2024-25</w:t>
            </w:r>
          </w:p>
        </w:tc>
        <w:tc>
          <w:tcPr>
            <w:tcW w:type="dxa" w:w="2160"/>
          </w:tcPr>
          <w:p>
            <w:r>
              <w:t>FY 2025-26</w:t>
            </w:r>
          </w:p>
        </w:tc>
      </w:tr>
      <w:tr>
        <w:tc>
          <w:tcPr>
            <w:tcW w:type="dxa" w:w="2160"/>
          </w:tcPr>
          <w:p>
            <w:r>
              <w:t>Gross Turnover / Revenue</w:t>
            </w:r>
          </w:p>
        </w:tc>
        <w:tc>
          <w:tcPr>
            <w:tcW w:type="dxa" w:w="2160"/>
          </w:tcPr>
          <w:p>
            <w:r>
              <w:t>2,80,00,000</w:t>
            </w:r>
          </w:p>
        </w:tc>
        <w:tc>
          <w:tcPr>
            <w:tcW w:type="dxa" w:w="2160"/>
          </w:tcPr>
          <w:p>
            <w:r>
              <w:t>3,45,00,000</w:t>
            </w:r>
          </w:p>
        </w:tc>
        <w:tc>
          <w:tcPr>
            <w:tcW w:type="dxa" w:w="2160"/>
          </w:tcPr>
          <w:p>
            <w:r>
              <w:t>4,20,00,000</w:t>
            </w:r>
          </w:p>
        </w:tc>
      </w:tr>
      <w:tr>
        <w:tc>
          <w:tcPr>
            <w:tcW w:type="dxa" w:w="2160"/>
          </w:tcPr>
          <w:p>
            <w:r>
              <w:t>Cost of Goods Sold (COGS)</w:t>
            </w:r>
          </w:p>
        </w:tc>
        <w:tc>
          <w:tcPr>
            <w:tcW w:type="dxa" w:w="2160"/>
          </w:tcPr>
          <w:p>
            <w:r>
              <w:t>1,65,00,000</w:t>
            </w:r>
          </w:p>
        </w:tc>
        <w:tc>
          <w:tcPr>
            <w:tcW w:type="dxa" w:w="2160"/>
          </w:tcPr>
          <w:p>
            <w:r>
              <w:t>2,00,00,000</w:t>
            </w:r>
          </w:p>
        </w:tc>
        <w:tc>
          <w:tcPr>
            <w:tcW w:type="dxa" w:w="2160"/>
          </w:tcPr>
          <w:p>
            <w:r>
              <w:t>2,40,00,000</w:t>
            </w:r>
          </w:p>
        </w:tc>
      </w:tr>
      <w:tr>
        <w:tc>
          <w:tcPr>
            <w:tcW w:type="dxa" w:w="2160"/>
          </w:tcPr>
          <w:p>
            <w:r>
              <w:t>Operating Expenses (OPEX)</w:t>
            </w:r>
          </w:p>
        </w:tc>
        <w:tc>
          <w:tcPr>
            <w:tcW w:type="dxa" w:w="2160"/>
          </w:tcPr>
          <w:p>
            <w:r>
              <w:t>38,00,000</w:t>
            </w:r>
          </w:p>
        </w:tc>
        <w:tc>
          <w:tcPr>
            <w:tcW w:type="dxa" w:w="2160"/>
          </w:tcPr>
          <w:p>
            <w:r>
              <w:t>45,00,000</w:t>
            </w:r>
          </w:p>
        </w:tc>
        <w:tc>
          <w:tcPr>
            <w:tcW w:type="dxa" w:w="2160"/>
          </w:tcPr>
          <w:p>
            <w:r>
              <w:t>52,00,000</w:t>
            </w:r>
          </w:p>
        </w:tc>
      </w:tr>
      <w:tr>
        <w:tc>
          <w:tcPr>
            <w:tcW w:type="dxa" w:w="2160"/>
          </w:tcPr>
          <w:p>
            <w:r>
              <w:t>Depreciation &amp; Amortization</w:t>
            </w:r>
          </w:p>
        </w:tc>
        <w:tc>
          <w:tcPr>
            <w:tcW w:type="dxa" w:w="2160"/>
          </w:tcPr>
          <w:p>
            <w:r>
              <w:t>12,00,000</w:t>
            </w:r>
          </w:p>
        </w:tc>
        <w:tc>
          <w:tcPr>
            <w:tcW w:type="dxa" w:w="2160"/>
          </w:tcPr>
          <w:p>
            <w:r>
              <w:t>14,00,000</w:t>
            </w:r>
          </w:p>
        </w:tc>
        <w:tc>
          <w:tcPr>
            <w:tcW w:type="dxa" w:w="2160"/>
          </w:tcPr>
          <w:p>
            <w:r>
              <w:t>16,00,000</w:t>
            </w:r>
          </w:p>
        </w:tc>
      </w:tr>
      <w:tr>
        <w:tc>
          <w:tcPr>
            <w:tcW w:type="dxa" w:w="2160"/>
          </w:tcPr>
          <w:p>
            <w:r>
              <w:t>Interest &amp; Finance Cost</w:t>
            </w:r>
          </w:p>
        </w:tc>
        <w:tc>
          <w:tcPr>
            <w:tcW w:type="dxa" w:w="2160"/>
          </w:tcPr>
          <w:p>
            <w:r>
              <w:t>9,50,000</w:t>
            </w:r>
          </w:p>
        </w:tc>
        <w:tc>
          <w:tcPr>
            <w:tcW w:type="dxa" w:w="2160"/>
          </w:tcPr>
          <w:p>
            <w:r>
              <w:t>11,00,000</w:t>
            </w:r>
          </w:p>
        </w:tc>
        <w:tc>
          <w:tcPr>
            <w:tcW w:type="dxa" w:w="2160"/>
          </w:tcPr>
          <w:p>
            <w:r>
              <w:t>12,00,000</w:t>
            </w:r>
          </w:p>
        </w:tc>
      </w:tr>
      <w:tr>
        <w:tc>
          <w:tcPr>
            <w:tcW w:type="dxa" w:w="2160"/>
          </w:tcPr>
          <w:p>
            <w:r>
              <w:t>Profit After Tax (PAT)</w:t>
            </w:r>
          </w:p>
        </w:tc>
        <w:tc>
          <w:tcPr>
            <w:tcW w:type="dxa" w:w="2160"/>
          </w:tcPr>
          <w:p>
            <w:r>
              <w:t>41,62,500</w:t>
            </w:r>
          </w:p>
        </w:tc>
        <w:tc>
          <w:tcPr>
            <w:tcW w:type="dxa" w:w="2160"/>
          </w:tcPr>
          <w:p>
            <w:r>
              <w:t>56,25,000</w:t>
            </w:r>
          </w:p>
        </w:tc>
        <w:tc>
          <w:tcPr>
            <w:tcW w:type="dxa" w:w="2160"/>
          </w:tcPr>
          <w:p>
            <w:r>
              <w:t>75,00,000</w:t>
            </w:r>
          </w:p>
        </w:tc>
      </w:tr>
      <w:tr>
        <w:tc>
          <w:tcPr>
            <w:tcW w:type="dxa" w:w="2160"/>
          </w:tcPr>
          <w:p>
            <w:r>
              <w:t>Cash &amp; Bank Balances</w:t>
            </w:r>
          </w:p>
        </w:tc>
        <w:tc>
          <w:tcPr>
            <w:tcW w:type="dxa" w:w="2160"/>
          </w:tcPr>
          <w:p>
            <w:r>
              <w:t>18,00,000</w:t>
            </w:r>
          </w:p>
        </w:tc>
        <w:tc>
          <w:tcPr>
            <w:tcW w:type="dxa" w:w="2160"/>
          </w:tcPr>
          <w:p>
            <w:r>
              <w:t>22,00,000</w:t>
            </w:r>
          </w:p>
        </w:tc>
        <w:tc>
          <w:tcPr>
            <w:tcW w:type="dxa" w:w="2160"/>
          </w:tcPr>
          <w:p>
            <w:r>
              <w:t>31,00,000</w:t>
            </w:r>
          </w:p>
        </w:tc>
      </w:tr>
      <w:tr>
        <w:tc>
          <w:tcPr>
            <w:tcW w:type="dxa" w:w="2160"/>
          </w:tcPr>
          <w:p>
            <w:r>
              <w:t>Sundry Debtors / Receivables</w:t>
            </w:r>
          </w:p>
        </w:tc>
        <w:tc>
          <w:tcPr>
            <w:tcW w:type="dxa" w:w="2160"/>
          </w:tcPr>
          <w:p>
            <w:r>
              <w:t>45,00,000</w:t>
            </w:r>
          </w:p>
        </w:tc>
        <w:tc>
          <w:tcPr>
            <w:tcW w:type="dxa" w:w="2160"/>
          </w:tcPr>
          <w:p>
            <w:r>
              <w:t>56,00,000</w:t>
            </w:r>
          </w:p>
        </w:tc>
        <w:tc>
          <w:tcPr>
            <w:tcW w:type="dxa" w:w="2160"/>
          </w:tcPr>
          <w:p>
            <w:r>
              <w:t>68,00,000</w:t>
            </w:r>
          </w:p>
        </w:tc>
      </w:tr>
      <w:tr>
        <w:tc>
          <w:tcPr>
            <w:tcW w:type="dxa" w:w="2160"/>
          </w:tcPr>
          <w:p>
            <w:r>
              <w:t>Inventory / Stock</w:t>
            </w:r>
          </w:p>
        </w:tc>
        <w:tc>
          <w:tcPr>
            <w:tcW w:type="dxa" w:w="2160"/>
          </w:tcPr>
          <w:p>
            <w:r>
              <w:t>32,00,000</w:t>
            </w:r>
          </w:p>
        </w:tc>
        <w:tc>
          <w:tcPr>
            <w:tcW w:type="dxa" w:w="2160"/>
          </w:tcPr>
          <w:p>
            <w:r>
              <w:t>41,00,000</w:t>
            </w:r>
          </w:p>
        </w:tc>
        <w:tc>
          <w:tcPr>
            <w:tcW w:type="dxa" w:w="2160"/>
          </w:tcPr>
          <w:p>
            <w:r>
              <w:t>50,00,000</w:t>
            </w:r>
          </w:p>
        </w:tc>
      </w:tr>
      <w:tr>
        <w:tc>
          <w:tcPr>
            <w:tcW w:type="dxa" w:w="2160"/>
          </w:tcPr>
          <w:p>
            <w:r>
              <w:t>Net Fixed Assets (PPE)</w:t>
            </w:r>
          </w:p>
        </w:tc>
        <w:tc>
          <w:tcPr>
            <w:tcW w:type="dxa" w:w="2160"/>
          </w:tcPr>
          <w:p>
            <w:r>
              <w:t>1,45,00,000</w:t>
            </w:r>
          </w:p>
        </w:tc>
        <w:tc>
          <w:tcPr>
            <w:tcW w:type="dxa" w:w="2160"/>
          </w:tcPr>
          <w:p>
            <w:r>
              <w:t>1,68,00,000</w:t>
            </w:r>
          </w:p>
        </w:tc>
        <w:tc>
          <w:tcPr>
            <w:tcW w:type="dxa" w:w="2160"/>
          </w:tcPr>
          <w:p>
            <w:r>
              <w:t>1,95,00,000</w:t>
            </w:r>
          </w:p>
        </w:tc>
      </w:tr>
      <w:tr>
        <w:tc>
          <w:tcPr>
            <w:tcW w:type="dxa" w:w="2160"/>
          </w:tcPr>
          <w:p>
            <w:r>
              <w:t>Sundry Creditors / Payables</w:t>
            </w:r>
          </w:p>
        </w:tc>
        <w:tc>
          <w:tcPr>
            <w:tcW w:type="dxa" w:w="2160"/>
          </w:tcPr>
          <w:p>
            <w:r>
              <w:t>31,00,000</w:t>
            </w:r>
          </w:p>
        </w:tc>
        <w:tc>
          <w:tcPr>
            <w:tcW w:type="dxa" w:w="2160"/>
          </w:tcPr>
          <w:p>
            <w:r>
              <w:t>38,00,000</w:t>
            </w:r>
          </w:p>
        </w:tc>
        <w:tc>
          <w:tcPr>
            <w:tcW w:type="dxa" w:w="2160"/>
          </w:tcPr>
          <w:p>
            <w:r>
              <w:t>46,00,000</w:t>
            </w:r>
          </w:p>
        </w:tc>
      </w:tr>
      <w:tr>
        <w:tc>
          <w:tcPr>
            <w:tcW w:type="dxa" w:w="2160"/>
          </w:tcPr>
          <w:p>
            <w:r>
              <w:t>Short Term Borrowings (CC)</w:t>
            </w:r>
          </w:p>
        </w:tc>
        <w:tc>
          <w:tcPr>
            <w:tcW w:type="dxa" w:w="2160"/>
          </w:tcPr>
          <w:p>
            <w:r>
              <w:t>40,00,000</w:t>
            </w:r>
          </w:p>
        </w:tc>
        <w:tc>
          <w:tcPr>
            <w:tcW w:type="dxa" w:w="2160"/>
          </w:tcPr>
          <w:p>
            <w:r>
              <w:t>48,00,000</w:t>
            </w:r>
          </w:p>
        </w:tc>
        <w:tc>
          <w:tcPr>
            <w:tcW w:type="dxa" w:w="2160"/>
          </w:tcPr>
          <w:p>
            <w:r>
              <w:t>55,00,000</w:t>
            </w:r>
          </w:p>
        </w:tc>
      </w:tr>
      <w:tr>
        <w:tc>
          <w:tcPr>
            <w:tcW w:type="dxa" w:w="2160"/>
          </w:tcPr>
          <w:p>
            <w:r>
              <w:t>Long Term Secured Debt</w:t>
            </w:r>
          </w:p>
        </w:tc>
        <w:tc>
          <w:tcPr>
            <w:tcW w:type="dxa" w:w="2160"/>
          </w:tcPr>
          <w:p>
            <w:r>
              <w:t>50,00,000</w:t>
            </w:r>
          </w:p>
        </w:tc>
        <w:tc>
          <w:tcPr>
            <w:tcW w:type="dxa" w:w="2160"/>
          </w:tcPr>
          <w:p>
            <w:r>
              <w:t>42,00,000</w:t>
            </w:r>
          </w:p>
        </w:tc>
        <w:tc>
          <w:tcPr>
            <w:tcW w:type="dxa" w:w="2160"/>
          </w:tcPr>
          <w:p>
            <w:r>
              <w:t>35,00,000</w:t>
            </w:r>
          </w:p>
        </w:tc>
      </w:tr>
      <w:tr>
        <w:tc>
          <w:tcPr>
            <w:tcW w:type="dxa" w:w="2160"/>
          </w:tcPr>
          <w:p>
            <w:r>
              <w:t>Paid Up Equity Capital</w:t>
            </w:r>
          </w:p>
        </w:tc>
        <w:tc>
          <w:tcPr>
            <w:tcW w:type="dxa" w:w="2160"/>
          </w:tcPr>
          <w:p>
            <w:r>
              <w:t>60,00,000</w:t>
            </w:r>
          </w:p>
        </w:tc>
        <w:tc>
          <w:tcPr>
            <w:tcW w:type="dxa" w:w="2160"/>
          </w:tcPr>
          <w:p>
            <w:r>
              <w:t>60,00,000</w:t>
            </w:r>
          </w:p>
        </w:tc>
        <w:tc>
          <w:tcPr>
            <w:tcW w:type="dxa" w:w="2160"/>
          </w:tcPr>
          <w:p>
            <w:r>
              <w:t>60,00,000</w:t>
            </w:r>
          </w:p>
        </w:tc>
      </w:tr>
      <w:tr>
        <w:tc>
          <w:tcPr>
            <w:tcW w:type="dxa" w:w="2160"/>
          </w:tcPr>
          <w:p>
            <w:r>
              <w:t>Reserves &amp; Surplus (Net Worth)</w:t>
            </w:r>
          </w:p>
        </w:tc>
        <w:tc>
          <w:tcPr>
            <w:tcW w:type="dxa" w:w="2160"/>
          </w:tcPr>
          <w:p>
            <w:r>
              <w:t>59,00,000</w:t>
            </w:r>
          </w:p>
        </w:tc>
        <w:tc>
          <w:tcPr>
            <w:tcW w:type="dxa" w:w="2160"/>
          </w:tcPr>
          <w:p>
            <w:r>
              <w:t>97,00,000</w:t>
            </w:r>
          </w:p>
        </w:tc>
        <w:tc>
          <w:tcPr>
            <w:tcW w:type="dxa" w:w="2160"/>
          </w:tcPr>
          <w:p>
            <w:r>
              <w:t>1,48,00,000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