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Calibri" w:hAnsi="Calibri"/>
          <w:b/>
          <w:i w:val="0"/>
          <w:color w:val="003366"/>
          <w:sz w:val="34"/>
        </w:rPr>
        <w:t>🏛️ CENTRAL BANK OF INDIA</w:t>
      </w:r>
    </w:p>
    <w:p>
      <w:pPr>
        <w:spacing w:before="260" w:after="80"/>
        <w:jc w:val="center"/>
      </w:pPr>
      <w:r>
        <w:rPr>
          <w:rFonts w:ascii="Calibri" w:hAnsi="Calibri"/>
          <w:b/>
          <w:i w:val="0"/>
          <w:color w:val="003366"/>
          <w:sz w:val="27"/>
        </w:rPr>
        <w:t>REGIONAL OFFICE, VISAKHAPATNAM | ANDHRA PRADESH</w:t>
      </w:r>
    </w:p>
    <w:p>
      <w:pPr>
        <w:spacing w:before="200" w:after="60"/>
        <w:jc w:val="center"/>
      </w:pPr>
      <w:r>
        <w:rPr>
          <w:rFonts w:ascii="Calibri" w:hAnsi="Calibri"/>
          <w:b/>
          <w:i w:val="0"/>
          <w:color w:val="003366"/>
          <w:sz w:val="23"/>
        </w:rPr>
        <w:t>RISK MANAGEMENT &amp; CREDIT APPRAISAL DIVISIONS</w:t>
      </w:r>
    </w:p>
    <w:tbl>
      <w:tblPr>
        <w:tblW w:type="auto" w:w="0"/>
        <w:jc w:val="center"/>
        <w:tblLook w:firstColumn="1" w:firstRow="1" w:lastColumn="0" w:lastRow="0" w:noHBand="0" w:noVBand="1" w:val="04A0"/>
      </w:tblPr>
      <w:tblGrid>
        <w:gridCol w:w="9461"/>
      </w:tblGrid>
      <w:tr>
        <w:tc>
          <w:tcPr>
            <w:tcW w:type="dxa" w:w="9360"/>
            <w:shd w:fill="CBD5E1"/>
          </w:tcPr>
          <w:p>
            <w:pPr>
              <w:spacing w:before="20" w:after="20"/>
            </w:pPr>
          </w:p>
        </w:tc>
      </w:tr>
    </w:tbl>
    <w:p>
      <w:pPr>
        <w:spacing w:before="280" w:after="120"/>
        <w:jc w:val="center"/>
      </w:pPr>
      <w:r>
        <w:rPr>
          <w:rFonts w:ascii="Calibri" w:hAnsi="Calibri"/>
          <w:b/>
          <w:i w:val="0"/>
          <w:color w:val="003366"/>
          <w:sz w:val="34"/>
        </w:rPr>
        <w:t>📖 CHAPTER 2</w:t>
      </w:r>
    </w:p>
    <w:p>
      <w:pPr>
        <w:spacing w:before="280" w:after="120"/>
      </w:pPr>
      <w:r>
        <w:rPr>
          <w:rFonts w:ascii="Calibri" w:hAnsi="Calibri"/>
          <w:b/>
          <w:i w:val="0"/>
          <w:color w:val="003366"/>
          <w:sz w:val="34"/>
        </w:rPr>
        <w:t>REGULATORY FRAMEWORK &amp; LITERATURE SURVEY</w:t>
      </w:r>
    </w:p>
    <w:tbl>
      <w:tblPr>
        <w:tblW w:type="auto" w:w="0"/>
        <w:jc w:val="center"/>
        <w:tblLook w:firstColumn="1" w:firstRow="1" w:lastColumn="0" w:lastRow="0" w:noHBand="0" w:noVBand="1" w:val="04A0"/>
      </w:tblPr>
      <w:tblGrid>
        <w:gridCol w:w="9461"/>
      </w:tblGrid>
      <w:tr>
        <w:tc>
          <w:tcPr>
            <w:tcW w:type="dxa" w:w="9360"/>
            <w:shd w:fill="CBD5E1"/>
          </w:tcPr>
          <w:p>
            <w:pPr>
              <w:spacing w:before="20" w:after="20"/>
            </w:pPr>
          </w:p>
        </w:tc>
      </w:tr>
    </w:tbl>
    <w:tbl>
      <w:tblPr>
        <w:tblW w:type="auto" w:w="0"/>
        <w:jc w:val="center"/>
        <w:tblLook w:firstColumn="1" w:firstRow="1" w:lastColumn="0" w:lastRow="0" w:noHBand="0" w:noVBand="1" w:val="04A0"/>
      </w:tblPr>
      <w:tblGrid>
        <w:gridCol w:w="9461"/>
      </w:tblGrid>
      <w:tr>
        <w:tc>
          <w:tcPr>
            <w:tcW w:type="dxa" w:w="9360"/>
            <w:shd w:fill="F8FAFC"/>
            <w:tcMar>
              <w:top w:w="100" w:type="dxa"/>
              <w:bottom w:w="100" w:type="dxa"/>
              <w:left w:w="140" w:type="dxa"/>
              <w:right w:w="140" w:type="dxa"/>
            </w:tcMar>
            <w:tcBorders>
              <w:top w:val="none"/>
              <w:left w:val="single" w:sz="24" w:space="0" w:color="003366"/>
              <w:bottom w:val="none"/>
              <w:right w:val="none"/>
            </w:tcBorders>
          </w:tcPr>
          <w:p>
            <w:pPr>
              <w:spacing w:before="40" w:after="60"/>
            </w:pPr>
            <w:r>
              <w:rPr>
                <w:rFonts w:ascii="Calibri" w:hAnsi="Calibri"/>
                <w:b/>
                <w:i w:val="0"/>
                <w:color w:val="003366"/>
                <w:sz w:val="23"/>
              </w:rPr>
              <w:t>📑 Chapter Roadmap &amp; Analytical Modules</w:t>
            </w:r>
          </w:p>
          <w:p>
            <w:pPr>
              <w:spacing w:before="40" w:after="40"/>
              <w:ind w:left="216"/>
            </w:pPr>
            <w:r>
              <w:rPr>
                <w:rFonts w:ascii="Calibri" w:hAnsi="Calibri"/>
                <w:b/>
                <w:color w:val="C69214"/>
              </w:rPr>
              <w:t xml:space="preserve">• </w:t>
            </w:r>
            <w:r>
              <w:rPr>
                <w:rFonts w:ascii="Calibri" w:hAnsi="Calibri"/>
                <w:b/>
                <w:i w:val="0"/>
                <w:color w:val="1E293B"/>
                <w:sz w:val="20"/>
              </w:rPr>
              <w:t>Section 2.1</w:t>
            </w:r>
            <w:r>
              <w:rPr>
                <w:rFonts w:ascii="Calibri" w:hAnsi="Calibri"/>
                <w:b w:val="0"/>
                <w:i w:val="0"/>
                <w:color w:val="1E293B"/>
                <w:sz w:val="20"/>
              </w:rPr>
              <w:t>: Evolution of Credit Risk Assessment: From 5 Cs to Autonomous Multi-Agent AI</w:t>
            </w:r>
          </w:p>
          <w:p>
            <w:pPr>
              <w:spacing w:before="40" w:after="40"/>
              <w:ind w:left="216"/>
            </w:pPr>
            <w:r>
              <w:rPr>
                <w:rFonts w:ascii="Calibri" w:hAnsi="Calibri"/>
                <w:b/>
                <w:color w:val="C69214"/>
              </w:rPr>
              <w:t xml:space="preserve">• </w:t>
            </w:r>
            <w:r>
              <w:rPr>
                <w:rFonts w:ascii="Calibri" w:hAnsi="Calibri"/>
                <w:b/>
                <w:i w:val="0"/>
                <w:color w:val="1E293B"/>
                <w:sz w:val="20"/>
              </w:rPr>
              <w:t>Section 2.2</w:t>
            </w:r>
            <w:r>
              <w:rPr>
                <w:rFonts w:ascii="Calibri" w:hAnsi="Calibri"/>
                <w:b w:val="0"/>
                <w:i w:val="0"/>
                <w:color w:val="1E293B"/>
                <w:sz w:val="20"/>
              </w:rPr>
              <w:t>: Reserve Bank of India (RBI) Prudential Underwriting Directives (LTV, FOIR, MSME, RBLR)</w:t>
            </w:r>
          </w:p>
          <w:p>
            <w:pPr>
              <w:spacing w:before="40" w:after="40"/>
              <w:ind w:left="216"/>
            </w:pPr>
            <w:r>
              <w:rPr>
                <w:rFonts w:ascii="Calibri" w:hAnsi="Calibri"/>
                <w:b/>
                <w:color w:val="C69214"/>
              </w:rPr>
              <w:t xml:space="preserve">• </w:t>
            </w:r>
            <w:r>
              <w:rPr>
                <w:rFonts w:ascii="Calibri" w:hAnsi="Calibri"/>
                <w:b/>
                <w:i w:val="0"/>
                <w:color w:val="1E293B"/>
                <w:sz w:val="20"/>
              </w:rPr>
              <w:t>Section 2.3</w:t>
            </w:r>
            <w:r>
              <w:rPr>
                <w:rFonts w:ascii="Calibri" w:hAnsi="Calibri"/>
                <w:b w:val="0"/>
                <w:i w:val="0"/>
                <w:color w:val="1E293B"/>
                <w:sz w:val="20"/>
              </w:rPr>
              <w:t>: Basel II and Basel III Accords: Internal Ratings-Based (IRB) Approaches &amp; Capital Modeling</w:t>
            </w:r>
          </w:p>
          <w:p>
            <w:pPr>
              <w:spacing w:before="40" w:after="40"/>
              <w:ind w:left="216"/>
            </w:pPr>
            <w:r>
              <w:rPr>
                <w:rFonts w:ascii="Calibri" w:hAnsi="Calibri"/>
                <w:b/>
                <w:color w:val="C69214"/>
              </w:rPr>
              <w:t xml:space="preserve">• </w:t>
            </w:r>
            <w:r>
              <w:rPr>
                <w:rFonts w:ascii="Calibri" w:hAnsi="Calibri"/>
                <w:b/>
                <w:i w:val="0"/>
                <w:color w:val="1E293B"/>
                <w:sz w:val="20"/>
              </w:rPr>
              <w:t>Section 2.4</w:t>
            </w:r>
            <w:r>
              <w:rPr>
                <w:rFonts w:ascii="Calibri" w:hAnsi="Calibri"/>
                <w:b w:val="0"/>
                <w:i w:val="0"/>
                <w:color w:val="1E293B"/>
                <w:sz w:val="20"/>
              </w:rPr>
              <w:t>: Legal &amp; Privacy Norms: Digital Personal Data Protection (DPDP) Act 2023 &amp; RBI IT Governance</w:t>
            </w:r>
          </w:p>
          <w:p>
            <w:pPr>
              <w:spacing w:before="40" w:after="40"/>
              <w:ind w:left="216"/>
            </w:pPr>
            <w:r>
              <w:rPr>
                <w:rFonts w:ascii="Calibri" w:hAnsi="Calibri"/>
                <w:b/>
                <w:color w:val="C69214"/>
              </w:rPr>
              <w:t xml:space="preserve">• </w:t>
            </w:r>
            <w:r>
              <w:rPr>
                <w:rFonts w:ascii="Calibri" w:hAnsi="Calibri"/>
                <w:b/>
                <w:i w:val="0"/>
                <w:color w:val="1E293B"/>
                <w:sz w:val="20"/>
              </w:rPr>
              <w:t>Section 2.5</w:t>
            </w:r>
            <w:r>
              <w:rPr>
                <w:rFonts w:ascii="Calibri" w:hAnsi="Calibri"/>
                <w:b w:val="0"/>
                <w:i w:val="0"/>
                <w:color w:val="1E293B"/>
                <w:sz w:val="20"/>
              </w:rPr>
              <w:t>: Survey of Agentic AI, Multi-Agent State Machines &amp; Hybrid Search RAG in Commercial Banking</w:t>
            </w:r>
          </w:p>
        </w:tc>
      </w:tr>
    </w:tbl>
    <w:p>
      <w:pPr>
        <w:spacing w:before="0" w:after="120"/>
      </w:pPr>
    </w:p>
    <w:tbl>
      <w:tblPr>
        <w:tblW w:type="auto" w:w="0"/>
        <w:jc w:val="center"/>
        <w:tblLook w:firstColumn="1" w:firstRow="1" w:lastColumn="0" w:lastRow="0" w:noHBand="0" w:noVBand="1" w:val="04A0"/>
      </w:tblPr>
      <w:tblGrid>
        <w:gridCol w:w="9461"/>
      </w:tblGrid>
      <w:tr>
        <w:tc>
          <w:tcPr>
            <w:tcW w:type="dxa" w:w="9360"/>
            <w:shd w:fill="CBD5E1"/>
          </w:tcPr>
          <w:p>
            <w:pPr>
              <w:spacing w:before="20" w:after="20"/>
            </w:pPr>
          </w:p>
        </w:tc>
      </w:tr>
    </w:tbl>
    <w:p>
      <w:r>
        <w:br w:type="page"/>
      </w:r>
    </w:p>
    <w:p>
      <w:pPr>
        <w:spacing w:before="280" w:after="120"/>
        <w:jc w:val="center"/>
      </w:pPr>
      <w:r>
        <w:rPr>
          <w:rFonts w:ascii="Calibri" w:hAnsi="Calibri"/>
          <w:b/>
          <w:i w:val="0"/>
          <w:color w:val="003366"/>
          <w:sz w:val="34"/>
        </w:rPr>
        <w:t>CHAPTER 2: REGULATORY FRAMEWORK &amp; LITERATURE SURVEY</w:t>
      </w:r>
    </w:p>
    <w:tbl>
      <w:tblPr>
        <w:tblW w:type="auto" w:w="0"/>
        <w:jc w:val="center"/>
        <w:tblLook w:firstColumn="1" w:firstRow="1" w:lastColumn="0" w:lastRow="0" w:noHBand="0" w:noVBand="1" w:val="04A0"/>
      </w:tblPr>
      <w:tblGrid>
        <w:gridCol w:w="9461"/>
      </w:tblGrid>
      <w:tr>
        <w:tc>
          <w:tcPr>
            <w:tcW w:type="dxa" w:w="9360"/>
            <w:shd w:fill="CBD5E1"/>
          </w:tcPr>
          <w:p>
            <w:pPr>
              <w:spacing w:before="20" w:after="20"/>
            </w:pPr>
          </w:p>
        </w:tc>
      </w:tr>
    </w:tbl>
    <w:p>
      <w:pPr>
        <w:spacing w:before="260" w:after="80"/>
      </w:pPr>
      <w:r>
        <w:rPr>
          <w:rFonts w:ascii="Calibri" w:hAnsi="Calibri"/>
          <w:b/>
          <w:i w:val="0"/>
          <w:color w:val="003366"/>
          <w:sz w:val="27"/>
        </w:rPr>
        <w:t>2.1 Evolution of Credit Risk Assessment: From 5 Cs to Autonomous AI</w:t>
      </w:r>
    </w:p>
    <w:p>
      <w:pPr>
        <w:spacing w:before="40" w:after="100"/>
      </w:pPr>
      <w:r>
        <w:rPr>
          <w:rFonts w:ascii="Calibri" w:hAnsi="Calibri"/>
          <w:b w:val="0"/>
          <w:i w:val="0"/>
          <w:color w:val="1E293B"/>
          <w:sz w:val="21"/>
        </w:rPr>
        <w:t>Credit risk assessment—the structured evaluation of the likelihood that a borrower will fail to meet their contractual debt obligations—has undergone profound conceptual and technological evolution over the past century. Within commercial banking, the methodology for measuring borrower creditworthiness has progressed through four distinct historical paradigms:</w:t>
      </w:r>
    </w:p>
    <w:tbl>
      <w:tblPr>
        <w:tblW w:type="auto" w:w="0"/>
        <w:jc w:val="center"/>
        <w:tblLook w:firstColumn="1" w:firstRow="1" w:lastColumn="0" w:lastRow="0" w:noHBand="0" w:noVBand="1" w:val="04A0"/>
      </w:tblPr>
      <w:tblGrid>
        <w:gridCol w:w="9461"/>
      </w:tblGrid>
      <w:tr>
        <w:tc>
          <w:tcPr>
            <w:tcW w:type="dxa" w:w="9360"/>
            <w:shd w:fill="F8FAFC"/>
            <w:tcMar>
              <w:top w:w="100" w:type="dxa"/>
              <w:bottom w:w="100" w:type="dxa"/>
              <w:left w:w="140" w:type="dxa"/>
              <w:right w:w="140" w:type="dxa"/>
            </w:tcMar>
            <w:tcBorders>
              <w:top w:val="none"/>
              <w:left w:val="single" w:sz="24" w:space="0" w:color="003366"/>
              <w:bottom w:val="none"/>
              <w:right w:val="none"/>
            </w:tcBorders>
          </w:tcPr>
          <w:p>
            <w:pPr>
              <w:spacing w:before="40" w:after="60"/>
            </w:pPr>
            <w:r>
              <w:rPr>
                <w:rFonts w:ascii="Calibri" w:hAnsi="Calibri"/>
                <w:b/>
                <w:i w:val="0"/>
                <w:color w:val="003366"/>
                <w:sz w:val="23"/>
              </w:rPr>
              <w:t>📊 The Four Paradigms of Credit Risk Underwriting</w:t>
            </w:r>
          </w:p>
          <w:p>
            <w:pPr>
              <w:spacing w:before="40" w:after="40"/>
              <w:ind w:left="216"/>
            </w:pPr>
            <w:r>
              <w:rPr>
                <w:rFonts w:ascii="Calibri" w:hAnsi="Calibri"/>
                <w:b/>
                <w:color w:val="003366"/>
              </w:rPr>
              <w:t xml:space="preserve">1. </w:t>
            </w:r>
            <w:r>
              <w:rPr>
                <w:rFonts w:ascii="Calibri" w:hAnsi="Calibri"/>
                <w:b/>
                <w:i w:val="0"/>
                <w:color w:val="1E293B"/>
                <w:sz w:val="20"/>
              </w:rPr>
              <w:t>Heuristic Paradigm (The 5 Cs of Credit)</w:t>
            </w:r>
            <w:r>
              <w:rPr>
                <w:rFonts w:ascii="Calibri" w:hAnsi="Calibri"/>
                <w:b w:val="0"/>
                <w:i w:val="0"/>
                <w:color w:val="1E293B"/>
                <w:sz w:val="20"/>
              </w:rPr>
              <w:t>: Qualitative loan officer discretion, character checks, and heuristic balance sheet evaluation.</w:t>
            </w:r>
          </w:p>
          <w:p>
            <w:pPr>
              <w:spacing w:before="40" w:after="40"/>
              <w:ind w:left="216"/>
            </w:pPr>
            <w:r>
              <w:rPr>
                <w:rFonts w:ascii="Calibri" w:hAnsi="Calibri"/>
                <w:b/>
                <w:color w:val="003366"/>
              </w:rPr>
              <w:t xml:space="preserve">2. </w:t>
            </w:r>
            <w:r>
              <w:rPr>
                <w:rFonts w:ascii="Calibri" w:hAnsi="Calibri"/>
                <w:b/>
                <w:i w:val="0"/>
                <w:color w:val="1E293B"/>
                <w:sz w:val="20"/>
              </w:rPr>
              <w:t>Statistical Scoring Paradigm (Altman Z, Logit, Bureau)</w:t>
            </w:r>
            <w:r>
              <w:rPr>
                <w:rFonts w:ascii="Calibri" w:hAnsi="Calibri"/>
                <w:b w:val="0"/>
                <w:i w:val="0"/>
                <w:color w:val="1E293B"/>
                <w:sz w:val="20"/>
              </w:rPr>
              <w:t>: Quantitative discriminant analysis, logistic probability modeling, and centralized credit bureau scoring (CIBIL).</w:t>
            </w:r>
          </w:p>
          <w:p>
            <w:pPr>
              <w:spacing w:before="40" w:after="40"/>
              <w:ind w:left="216"/>
            </w:pPr>
            <w:r>
              <w:rPr>
                <w:rFonts w:ascii="Calibri" w:hAnsi="Calibri"/>
                <w:b/>
                <w:color w:val="003366"/>
              </w:rPr>
              <w:t xml:space="preserve">3. </w:t>
            </w:r>
            <w:r>
              <w:rPr>
                <w:rFonts w:ascii="Calibri" w:hAnsi="Calibri"/>
                <w:b/>
                <w:i w:val="0"/>
                <w:color w:val="1E293B"/>
                <w:sz w:val="20"/>
              </w:rPr>
              <w:t>Machine Learning Paradigm (XGBoost, Deep Learning, SHAP)</w:t>
            </w:r>
            <w:r>
              <w:rPr>
                <w:rFonts w:ascii="Calibri" w:hAnsi="Calibri"/>
                <w:b w:val="0"/>
                <w:i w:val="0"/>
                <w:color w:val="1E293B"/>
                <w:sz w:val="20"/>
              </w:rPr>
              <w:t>: High-dimensional non-linear default modeling, automated feature extraction, and post-hoc Shapley explainability.</w:t>
            </w:r>
          </w:p>
          <w:p>
            <w:pPr>
              <w:spacing w:before="40" w:after="40"/>
              <w:ind w:left="216"/>
            </w:pPr>
            <w:r>
              <w:rPr>
                <w:rFonts w:ascii="Calibri" w:hAnsi="Calibri"/>
                <w:b/>
                <w:color w:val="003366"/>
              </w:rPr>
              <w:t xml:space="preserve">4. </w:t>
            </w:r>
            <w:r>
              <w:rPr>
                <w:rFonts w:ascii="Calibri" w:hAnsi="Calibri"/>
                <w:b/>
                <w:i w:val="0"/>
                <w:color w:val="1E293B"/>
                <w:sz w:val="20"/>
              </w:rPr>
              <w:t>Autonomous Agentic Paradigm (ILAS Platform)</w:t>
            </w:r>
            <w:r>
              <w:rPr>
                <w:rFonts w:ascii="Calibri" w:hAnsi="Calibri"/>
                <w:b w:val="0"/>
                <w:i w:val="0"/>
                <w:color w:val="1E293B"/>
                <w:sz w:val="20"/>
              </w:rPr>
              <w:t>: Deterministic multi-agent state machines, zero token calculation engines, Hybrid RAG regulatory retrieval, and mandatory Human-in-the-Loop governance.</w:t>
            </w:r>
          </w:p>
        </w:tc>
      </w:tr>
    </w:tbl>
    <w:p>
      <w:pPr>
        <w:spacing w:before="0" w:after="120"/>
      </w:pPr>
    </w:p>
    <w:tbl>
      <w:tblPr>
        <w:tblW w:type="auto" w:w="0"/>
        <w:jc w:val="center"/>
        <w:tblLook w:firstColumn="1" w:firstRow="1" w:lastColumn="0" w:lastRow="0" w:noHBand="0" w:noVBand="1" w:val="04A0"/>
      </w:tblPr>
      <w:tblGrid>
        <w:gridCol w:w="9461"/>
      </w:tblGrid>
      <w:tr>
        <w:tc>
          <w:tcPr>
            <w:tcW w:type="dxa" w:w="9360"/>
            <w:shd w:fill="CBD5E1"/>
          </w:tcPr>
          <w:p>
            <w:pPr>
              <w:spacing w:before="20" w:after="20"/>
            </w:pPr>
          </w:p>
        </w:tc>
      </w:tr>
    </w:tbl>
    <w:p>
      <w:pPr>
        <w:spacing w:before="200" w:after="60"/>
      </w:pPr>
      <w:r>
        <w:rPr>
          <w:rFonts w:ascii="Calibri" w:hAnsi="Calibri"/>
          <w:b/>
          <w:i w:val="0"/>
          <w:color w:val="003366"/>
          <w:sz w:val="23"/>
        </w:rPr>
        <w:t>1. The Heuristic Era: The Classical "5 Cs of Credit" Framework</w:t>
      </w:r>
    </w:p>
    <w:p>
      <w:pPr>
        <w:spacing w:before="40" w:after="100"/>
      </w:pPr>
      <w:r>
        <w:rPr>
          <w:rFonts w:ascii="Calibri" w:hAnsi="Calibri"/>
          <w:b w:val="0"/>
          <w:i w:val="0"/>
          <w:color w:val="1E293B"/>
          <w:sz w:val="21"/>
        </w:rPr>
        <w:t xml:space="preserve">For decades, public sector commercial banks in India relied on the classical </w:t>
      </w:r>
      <w:r>
        <w:rPr>
          <w:rFonts w:ascii="Calibri" w:hAnsi="Calibri"/>
          <w:b/>
          <w:i w:val="0"/>
          <w:color w:val="1E293B"/>
          <w:sz w:val="21"/>
        </w:rPr>
        <w:t>Five Cs of Credit</w:t>
      </w:r>
      <w:r>
        <w:rPr>
          <w:rFonts w:ascii="Calibri" w:hAnsi="Calibri"/>
          <w:b w:val="0"/>
          <w:i w:val="0"/>
          <w:color w:val="1E293B"/>
          <w:sz w:val="21"/>
        </w:rPr>
        <w:t xml:space="preserve"> framework to structure loan appraisals:</w:t>
      </w:r>
    </w:p>
    <w:p>
      <w:pPr>
        <w:spacing w:before="40" w:after="40"/>
        <w:ind w:left="288"/>
      </w:pPr>
      <w:r>
        <w:rPr>
          <w:rFonts w:ascii="Calibri" w:hAnsi="Calibri"/>
          <w:b/>
          <w:color w:val="003366"/>
        </w:rPr>
        <w:t xml:space="preserve">• </w:t>
      </w:r>
      <w:r>
        <w:rPr>
          <w:rFonts w:ascii="Calibri" w:hAnsi="Calibri"/>
          <w:b/>
          <w:i w:val="0"/>
          <w:color w:val="1E293B"/>
          <w:sz w:val="21"/>
        </w:rPr>
        <w:t>Character</w:t>
      </w:r>
      <w:r>
        <w:rPr>
          <w:rFonts w:ascii="Calibri" w:hAnsi="Calibri"/>
          <w:b w:val="0"/>
          <w:i w:val="0"/>
          <w:color w:val="1E293B"/>
          <w:sz w:val="21"/>
        </w:rPr>
        <w:t>: The borrower's historical integrity, business reputation, debt repayment willingness, and past track record. Assessed through trade references, promoter interviews, and market intelligence.</w:t>
      </w:r>
    </w:p>
    <w:p>
      <w:pPr>
        <w:spacing w:before="40" w:after="40"/>
        <w:ind w:left="288"/>
      </w:pPr>
      <w:r>
        <w:rPr>
          <w:rFonts w:ascii="Calibri" w:hAnsi="Calibri"/>
          <w:b/>
          <w:color w:val="003366"/>
        </w:rPr>
        <w:t xml:space="preserve">• </w:t>
      </w:r>
      <w:r>
        <w:rPr>
          <w:rFonts w:ascii="Calibri" w:hAnsi="Calibri"/>
          <w:b/>
          <w:i w:val="0"/>
          <w:color w:val="1E293B"/>
          <w:sz w:val="21"/>
        </w:rPr>
        <w:t>Capacity</w:t>
      </w:r>
      <w:r>
        <w:rPr>
          <w:rFonts w:ascii="Calibri" w:hAnsi="Calibri"/>
          <w:b w:val="0"/>
          <w:i w:val="0"/>
          <w:color w:val="1E293B"/>
          <w:sz w:val="21"/>
        </w:rPr>
        <w:t>: The borrower's cash-flow generating ability to service interest and principal amortization, evaluated through audited turnover, operating margins, and bank statement cash flows.</w:t>
      </w:r>
    </w:p>
    <w:p>
      <w:pPr>
        <w:spacing w:before="40" w:after="40"/>
        <w:ind w:left="288"/>
      </w:pPr>
      <w:r>
        <w:rPr>
          <w:rFonts w:ascii="Calibri" w:hAnsi="Calibri"/>
          <w:b/>
          <w:color w:val="003366"/>
        </w:rPr>
        <w:t xml:space="preserve">• </w:t>
      </w:r>
      <w:r>
        <w:rPr>
          <w:rFonts w:ascii="Calibri" w:hAnsi="Calibri"/>
          <w:b/>
          <w:i w:val="0"/>
          <w:color w:val="1E293B"/>
          <w:sz w:val="21"/>
        </w:rPr>
        <w:t>Capital</w:t>
      </w:r>
      <w:r>
        <w:rPr>
          <w:rFonts w:ascii="Calibri" w:hAnsi="Calibri"/>
          <w:b w:val="0"/>
          <w:i w:val="0"/>
          <w:color w:val="1E293B"/>
          <w:sz w:val="21"/>
        </w:rPr>
        <w:t>: The borrower's own financial stake and equity contribution in the enterprise, measured via Tangible Net Worth (TNW), paid-up capital, and promoter equity margin.</w:t>
      </w:r>
    </w:p>
    <w:p>
      <w:pPr>
        <w:spacing w:before="40" w:after="40"/>
        <w:ind w:left="288"/>
      </w:pPr>
      <w:r>
        <w:rPr>
          <w:rFonts w:ascii="Calibri" w:hAnsi="Calibri"/>
          <w:b/>
          <w:color w:val="003366"/>
        </w:rPr>
        <w:t xml:space="preserve">• </w:t>
      </w:r>
      <w:r>
        <w:rPr>
          <w:rFonts w:ascii="Calibri" w:hAnsi="Calibri"/>
          <w:b/>
          <w:i w:val="0"/>
          <w:color w:val="1E293B"/>
          <w:sz w:val="21"/>
        </w:rPr>
        <w:t>Collateral</w:t>
      </w:r>
      <w:r>
        <w:rPr>
          <w:rFonts w:ascii="Calibri" w:hAnsi="Calibri"/>
          <w:b w:val="0"/>
          <w:i w:val="0"/>
          <w:color w:val="1E293B"/>
          <w:sz w:val="21"/>
        </w:rPr>
        <w:t>: Secondary asset security pledged (immovable land, factory premises, plant &amp; machinery, hypothecated inventory, or personal guarantees) to mitigate loss given default.</w:t>
      </w:r>
    </w:p>
    <w:p>
      <w:pPr>
        <w:spacing w:before="40" w:after="40"/>
        <w:ind w:left="288"/>
      </w:pPr>
      <w:r>
        <w:rPr>
          <w:rFonts w:ascii="Calibri" w:hAnsi="Calibri"/>
          <w:b/>
          <w:color w:val="003366"/>
        </w:rPr>
        <w:t xml:space="preserve">• </w:t>
      </w:r>
      <w:r>
        <w:rPr>
          <w:rFonts w:ascii="Calibri" w:hAnsi="Calibri"/>
          <w:b/>
          <w:i w:val="0"/>
          <w:color w:val="1E293B"/>
          <w:sz w:val="21"/>
        </w:rPr>
        <w:t>Conditions</w:t>
      </w:r>
      <w:r>
        <w:rPr>
          <w:rFonts w:ascii="Calibri" w:hAnsi="Calibri"/>
          <w:b w:val="0"/>
          <w:i w:val="0"/>
          <w:color w:val="1E293B"/>
          <w:sz w:val="21"/>
        </w:rPr>
        <w:t>: Macroeconomic factors, cyclical industry trends, interest rate environments, and governmental policy regulations governing the borrower's operating sector.</w:t>
      </w:r>
    </w:p>
    <w:p>
      <w:pPr>
        <w:spacing w:before="40" w:after="100"/>
      </w:pPr>
      <w:r>
        <w:rPr>
          <w:rFonts w:ascii="Calibri" w:hAnsi="Calibri"/>
          <w:b w:val="0"/>
          <w:i w:val="0"/>
          <w:color w:val="1E293B"/>
          <w:sz w:val="21"/>
        </w:rPr>
        <w:t>While comprehensive in scope, the heuristic paradigm was fundamentally subjective, heavily reliant on individual loan officer discretion, and vulnerable to cognitive bias and geographical inconsistency across branch networks.</w:t>
      </w:r>
    </w:p>
    <w:tbl>
      <w:tblPr>
        <w:tblW w:type="auto" w:w="0"/>
        <w:jc w:val="center"/>
        <w:tblLook w:firstColumn="1" w:firstRow="1" w:lastColumn="0" w:lastRow="0" w:noHBand="0" w:noVBand="1" w:val="04A0"/>
      </w:tblPr>
      <w:tblGrid>
        <w:gridCol w:w="9461"/>
      </w:tblGrid>
      <w:tr>
        <w:tc>
          <w:tcPr>
            <w:tcW w:type="dxa" w:w="9360"/>
            <w:shd w:fill="CBD5E1"/>
          </w:tcPr>
          <w:p>
            <w:pPr>
              <w:spacing w:before="20" w:after="20"/>
            </w:pPr>
          </w:p>
        </w:tc>
      </w:tr>
    </w:tbl>
    <w:p>
      <w:pPr>
        <w:spacing w:before="200" w:after="60"/>
      </w:pPr>
      <w:r>
        <w:rPr>
          <w:rFonts w:ascii="Calibri" w:hAnsi="Calibri"/>
          <w:b/>
          <w:i w:val="0"/>
          <w:color w:val="003366"/>
          <w:sz w:val="23"/>
        </w:rPr>
        <w:t>2. The Statistical Scoring Era: Multivariate Discriminant &amp; Probability Models</w:t>
      </w:r>
    </w:p>
    <w:p>
      <w:pPr>
        <w:spacing w:before="40" w:after="100"/>
      </w:pPr>
      <w:r>
        <w:rPr>
          <w:rFonts w:ascii="Calibri" w:hAnsi="Calibri"/>
          <w:b w:val="0"/>
          <w:i w:val="0"/>
          <w:color w:val="1E293B"/>
          <w:sz w:val="21"/>
        </w:rPr>
        <w:t>The introduction of multivariate statistical analysis transformed credit appraisal into an objective quantitative discipline:</w:t>
      </w:r>
    </w:p>
    <w:p>
      <w:pPr>
        <w:spacing w:before="40" w:after="40"/>
        <w:ind w:left="288"/>
      </w:pPr>
      <w:r>
        <w:rPr>
          <w:rFonts w:ascii="Calibri" w:hAnsi="Calibri"/>
          <w:b/>
          <w:color w:val="003366"/>
        </w:rPr>
        <w:t xml:space="preserve">• </w:t>
      </w:r>
      <w:r>
        <w:rPr>
          <w:rFonts w:ascii="Calibri" w:hAnsi="Calibri"/>
          <w:b/>
          <w:i w:val="0"/>
          <w:color w:val="1E293B"/>
          <w:sz w:val="21"/>
        </w:rPr>
        <w:t>Altman Z-Score (Edward Altman, 1968)</w:t>
      </w:r>
      <w:r>
        <w:rPr>
          <w:rFonts w:ascii="Calibri" w:hAnsi="Calibri"/>
          <w:b w:val="0"/>
          <w:i w:val="0"/>
          <w:color w:val="1E293B"/>
          <w:sz w:val="21"/>
        </w:rPr>
        <w:t>: Pioneered Multiple Discriminant Analysis (MDA) using five financial ratios to predict corporate bankruptcy with high statistical accuracy.</w:t>
      </w:r>
    </w:p>
    <w:p>
      <w:pPr>
        <w:spacing w:before="40" w:after="40"/>
        <w:ind w:left="288"/>
      </w:pPr>
      <w:r>
        <w:rPr>
          <w:rFonts w:ascii="Calibri" w:hAnsi="Calibri"/>
          <w:b/>
          <w:color w:val="003366"/>
        </w:rPr>
        <w:t xml:space="preserve">• </w:t>
      </w:r>
      <w:r>
        <w:rPr>
          <w:rFonts w:ascii="Calibri" w:hAnsi="Calibri"/>
          <w:b/>
          <w:i w:val="0"/>
          <w:color w:val="1E293B"/>
          <w:sz w:val="21"/>
        </w:rPr>
        <w:t>Ohlson O-Score &amp; Logistic Regression (James Ohlson, 1980)</w:t>
      </w:r>
      <w:r>
        <w:rPr>
          <w:rFonts w:ascii="Calibri" w:hAnsi="Calibri"/>
          <w:b w:val="0"/>
          <w:i w:val="0"/>
          <w:color w:val="1E293B"/>
          <w:sz w:val="21"/>
        </w:rPr>
        <w:t>: Introduced conditional logit models, enabling banks to estimate the discrete mathematical Probability of Default ($PD$) across a continuous scale from $0.0\%$ to $100.0\%$.</w:t>
      </w:r>
    </w:p>
    <w:p>
      <w:pPr>
        <w:spacing w:before="40" w:after="40"/>
        <w:ind w:left="288"/>
      </w:pPr>
      <w:r>
        <w:rPr>
          <w:rFonts w:ascii="Calibri" w:hAnsi="Calibri"/>
          <w:b/>
          <w:color w:val="003366"/>
        </w:rPr>
        <w:t xml:space="preserve">• </w:t>
      </w:r>
      <w:r>
        <w:rPr>
          <w:rFonts w:ascii="Calibri" w:hAnsi="Calibri"/>
          <w:b/>
          <w:i w:val="0"/>
          <w:color w:val="1E293B"/>
          <w:sz w:val="21"/>
        </w:rPr>
        <w:t>Centralized Credit Bureau Scoring (CIBIL, 2005)</w:t>
      </w:r>
      <w:r>
        <w:rPr>
          <w:rFonts w:ascii="Calibri" w:hAnsi="Calibri"/>
          <w:b w:val="0"/>
          <w:i w:val="0"/>
          <w:color w:val="1E293B"/>
          <w:sz w:val="21"/>
        </w:rPr>
        <w:t xml:space="preserve">: Enacted under the </w:t>
      </w:r>
      <w:r>
        <w:rPr>
          <w:rFonts w:ascii="Calibri" w:hAnsi="Calibri"/>
          <w:b w:val="0"/>
          <w:i/>
          <w:color w:val="1E293B"/>
          <w:sz w:val="21"/>
        </w:rPr>
        <w:t>Credit Information Companies (Regulation) Act, 2005</w:t>
      </w:r>
      <w:r>
        <w:rPr>
          <w:rFonts w:ascii="Calibri" w:hAnsi="Calibri"/>
          <w:b w:val="0"/>
          <w:i w:val="0"/>
          <w:color w:val="1E293B"/>
          <w:sz w:val="21"/>
        </w:rPr>
        <w:t>, centralized credit bureaus introduced standardized three-digit scores ($300$ to $900$) derived from historical repayment delinquency, credit utilization, and credit mix.</w:t>
      </w:r>
    </w:p>
    <w:tbl>
      <w:tblPr>
        <w:tblW w:type="auto" w:w="0"/>
        <w:jc w:val="center"/>
        <w:tblLook w:firstColumn="1" w:firstRow="1" w:lastColumn="0" w:lastRow="0" w:noHBand="0" w:noVBand="1" w:val="04A0"/>
      </w:tblPr>
      <w:tblGrid>
        <w:gridCol w:w="9461"/>
      </w:tblGrid>
      <w:tr>
        <w:tc>
          <w:tcPr>
            <w:tcW w:type="dxa" w:w="9360"/>
            <w:shd w:fill="CBD5E1"/>
          </w:tcPr>
          <w:p>
            <w:pPr>
              <w:spacing w:before="20" w:after="20"/>
            </w:pPr>
          </w:p>
        </w:tc>
      </w:tr>
    </w:tbl>
    <w:p>
      <w:pPr>
        <w:spacing w:before="200" w:after="60"/>
      </w:pPr>
      <w:r>
        <w:rPr>
          <w:rFonts w:ascii="Calibri" w:hAnsi="Calibri"/>
          <w:b/>
          <w:i w:val="0"/>
          <w:color w:val="003366"/>
          <w:sz w:val="23"/>
        </w:rPr>
        <w:t>3. The Machine Learning Era: Non-Linear Gradient Boosting &amp; Explainable AI (XAI)</w:t>
      </w:r>
    </w:p>
    <w:p>
      <w:pPr>
        <w:spacing w:before="40" w:after="100"/>
      </w:pPr>
      <w:r>
        <w:rPr>
          <w:rFonts w:ascii="Calibri" w:hAnsi="Calibri"/>
          <w:b w:val="0"/>
          <w:i w:val="0"/>
          <w:color w:val="1E293B"/>
          <w:sz w:val="21"/>
        </w:rPr>
        <w:t xml:space="preserve">Over the past decade, non-linear Machine Learning (ML) algorithms—most notably </w:t>
      </w:r>
      <w:r>
        <w:rPr>
          <w:rFonts w:ascii="Calibri" w:hAnsi="Calibri"/>
          <w:b/>
          <w:i w:val="0"/>
          <w:color w:val="1E293B"/>
          <w:sz w:val="21"/>
        </w:rPr>
        <w:t>Extreme Gradient Boosting (XGBoost)</w:t>
      </w:r>
      <w:r>
        <w:rPr>
          <w:rFonts w:ascii="Calibri" w:hAnsi="Calibri"/>
          <w:b w:val="0"/>
          <w:i w:val="0"/>
          <w:color w:val="1E293B"/>
          <w:sz w:val="21"/>
        </w:rPr>
        <w:t xml:space="preserve"> and </w:t>
      </w:r>
      <w:r>
        <w:rPr>
          <w:rFonts w:ascii="Calibri" w:hAnsi="Calibri"/>
          <w:b/>
          <w:i w:val="0"/>
          <w:color w:val="1E293B"/>
          <w:sz w:val="21"/>
        </w:rPr>
        <w:t>LightGBM</w:t>
      </w:r>
      <w:r>
        <w:rPr>
          <w:rFonts w:ascii="Calibri" w:hAnsi="Calibri"/>
          <w:b w:val="0"/>
          <w:i w:val="0"/>
          <w:color w:val="1E293B"/>
          <w:sz w:val="21"/>
        </w:rPr>
        <w:t xml:space="preserve">—demonstrated superior predictive accuracy over traditional linear scoring models. ML models ingest high-dimensional datasets, uncovering non-linear risk interactions and subtle default signals. </w:t>
      </w:r>
    </w:p>
    <w:p>
      <w:pPr>
        <w:spacing w:before="40" w:after="100"/>
      </w:pPr>
      <w:r>
        <w:rPr>
          <w:rFonts w:ascii="Calibri" w:hAnsi="Calibri"/>
          <w:b w:val="0"/>
          <w:i w:val="0"/>
          <w:color w:val="1E293B"/>
          <w:sz w:val="21"/>
        </w:rPr>
        <w:t xml:space="preserve">However, standard ML models historically operated as opaque "black boxes," hindering regulatory adoption in banking until the advent of </w:t>
      </w:r>
      <w:r>
        <w:rPr>
          <w:rFonts w:ascii="Calibri" w:hAnsi="Calibri"/>
          <w:b/>
          <w:i w:val="0"/>
          <w:color w:val="1E293B"/>
          <w:sz w:val="21"/>
        </w:rPr>
        <w:t>Explainable Artificial Intelligence (XAI)</w:t>
      </w:r>
      <w:r>
        <w:rPr>
          <w:rFonts w:ascii="Calibri" w:hAnsi="Calibri"/>
          <w:b w:val="0"/>
          <w:i w:val="0"/>
          <w:color w:val="1E293B"/>
          <w:sz w:val="21"/>
        </w:rPr>
        <w:t xml:space="preserve"> frameworks—specifically </w:t>
      </w:r>
      <w:r>
        <w:rPr>
          <w:rFonts w:ascii="Calibri" w:hAnsi="Calibri"/>
          <w:b/>
          <w:i w:val="0"/>
          <w:color w:val="1E293B"/>
          <w:sz w:val="21"/>
        </w:rPr>
        <w:t>Shapley Additive exPlanations (SHAP)</w:t>
      </w:r>
      <w:r>
        <w:rPr>
          <w:rFonts w:ascii="Calibri" w:hAnsi="Calibri"/>
          <w:b w:val="0"/>
          <w:i w:val="0"/>
          <w:color w:val="1E293B"/>
          <w:sz w:val="21"/>
        </w:rPr>
        <w:t xml:space="preserve"> rooted in cooperative game theory, which assigns local contribution values to every financial feature.</w:t>
      </w:r>
    </w:p>
    <w:tbl>
      <w:tblPr>
        <w:tblW w:type="auto" w:w="0"/>
        <w:jc w:val="center"/>
        <w:tblLook w:firstColumn="1" w:firstRow="1" w:lastColumn="0" w:lastRow="0" w:noHBand="0" w:noVBand="1" w:val="04A0"/>
      </w:tblPr>
      <w:tblGrid>
        <w:gridCol w:w="9461"/>
      </w:tblGrid>
      <w:tr>
        <w:tc>
          <w:tcPr>
            <w:tcW w:type="dxa" w:w="9360"/>
            <w:shd w:fill="CBD5E1"/>
          </w:tcPr>
          <w:p>
            <w:pPr>
              <w:spacing w:before="20" w:after="20"/>
            </w:pPr>
          </w:p>
        </w:tc>
      </w:tr>
    </w:tbl>
    <w:p>
      <w:pPr>
        <w:spacing w:before="200" w:after="60"/>
      </w:pPr>
      <w:r>
        <w:rPr>
          <w:rFonts w:ascii="Calibri" w:hAnsi="Calibri"/>
          <w:b/>
          <w:i w:val="0"/>
          <w:color w:val="003366"/>
          <w:sz w:val="23"/>
        </w:rPr>
        <w:t>4. The Autonomous Agentic Era: The ILAS Architectural Paradigm</w:t>
      </w:r>
    </w:p>
    <w:p>
      <w:pPr>
        <w:spacing w:before="40" w:after="100"/>
      </w:pPr>
      <w:r>
        <w:rPr>
          <w:rFonts w:ascii="Calibri" w:hAnsi="Calibri"/>
          <w:b w:val="0"/>
          <w:i w:val="0"/>
          <w:color w:val="1E293B"/>
          <w:sz w:val="21"/>
        </w:rPr>
        <w:t xml:space="preserve">Despite predictive advancements, stand-alone ML models cannot perform multi-step document extraction, policy cross-referencing, multi-year financial spreading, and memo drafting. </w:t>
      </w:r>
    </w:p>
    <w:p>
      <w:pPr>
        <w:spacing w:before="40" w:after="100"/>
      </w:pPr>
      <w:r>
        <w:rPr>
          <w:rFonts w:ascii="Calibri" w:hAnsi="Calibri"/>
          <w:b w:val="0"/>
          <w:i w:val="0"/>
          <w:color w:val="1E293B"/>
          <w:sz w:val="21"/>
        </w:rPr>
        <w:t xml:space="preserve">The state-of-the-art frontier—realized in the </w:t>
      </w:r>
      <w:r>
        <w:rPr>
          <w:rFonts w:ascii="Calibri" w:hAnsi="Calibri"/>
          <w:b/>
          <w:i w:val="0"/>
          <w:color w:val="1E293B"/>
          <w:sz w:val="21"/>
        </w:rPr>
        <w:t>Intelligent Loan Appraisal System (ILAS)</w:t>
      </w:r>
      <w:r>
        <w:rPr>
          <w:rFonts w:ascii="Calibri" w:hAnsi="Calibri"/>
          <w:b w:val="0"/>
          <w:i w:val="0"/>
          <w:color w:val="1E293B"/>
          <w:sz w:val="21"/>
        </w:rPr>
        <w:t xml:space="preserve">—is </w:t>
      </w:r>
      <w:r>
        <w:rPr>
          <w:rFonts w:ascii="Calibri" w:hAnsi="Calibri"/>
          <w:b/>
          <w:i w:val="0"/>
          <w:color w:val="1E293B"/>
          <w:sz w:val="21"/>
        </w:rPr>
        <w:t>Autonomous Multi-Agent AI</w:t>
      </w:r>
      <w:r>
        <w:rPr>
          <w:rFonts w:ascii="Calibri" w:hAnsi="Calibri"/>
          <w:b w:val="0"/>
          <w:i w:val="0"/>
          <w:color w:val="1E293B"/>
          <w:sz w:val="21"/>
        </w:rPr>
        <w:t>. Orchestrated via state graphs (</w:t>
      </w:r>
      <w:r>
        <w:rPr>
          <w:rFonts w:ascii="Calibri" w:hAnsi="Calibri"/>
          <w:b/>
          <w:i w:val="0"/>
          <w:color w:val="1E293B"/>
          <w:sz w:val="21"/>
        </w:rPr>
        <w:t>LangGraph</w:t>
      </w:r>
      <w:r>
        <w:rPr>
          <w:rFonts w:ascii="Calibri" w:hAnsi="Calibri"/>
          <w:b w:val="0"/>
          <w:i w:val="0"/>
          <w:color w:val="1E293B"/>
          <w:sz w:val="21"/>
        </w:rPr>
        <w:t>), specialized autonomous software agents execute distinct underwriting tasks deterministically, transparently, and with strict Human-in-the-Loop governance.</w:t>
      </w:r>
    </w:p>
    <w:tbl>
      <w:tblPr>
        <w:tblW w:type="auto" w:w="0"/>
        <w:jc w:val="center"/>
        <w:tblLook w:firstColumn="1" w:firstRow="1" w:lastColumn="0" w:lastRow="0" w:noHBand="0" w:noVBand="1" w:val="04A0"/>
      </w:tblPr>
      <w:tblGrid>
        <w:gridCol w:w="9461"/>
      </w:tblGrid>
      <w:tr>
        <w:tc>
          <w:tcPr>
            <w:tcW w:type="dxa" w:w="9360"/>
            <w:shd w:fill="CBD5E1"/>
          </w:tcPr>
          <w:p>
            <w:pPr>
              <w:spacing w:before="20" w:after="20"/>
            </w:pPr>
          </w:p>
        </w:tc>
      </w:tr>
    </w:tbl>
    <w:p>
      <w:pPr>
        <w:spacing w:before="260" w:after="80"/>
      </w:pPr>
      <w:r>
        <w:rPr>
          <w:rFonts w:ascii="Calibri" w:hAnsi="Calibri"/>
          <w:b/>
          <w:i w:val="0"/>
          <w:color w:val="003366"/>
          <w:sz w:val="27"/>
        </w:rPr>
        <w:t>2.2 Reserve Bank of India (RBI) Prudential Underwriting Directives</w:t>
      </w:r>
    </w:p>
    <w:p>
      <w:pPr>
        <w:spacing w:before="40" w:after="100"/>
      </w:pPr>
      <w:r>
        <w:rPr>
          <w:rFonts w:ascii="Calibri" w:hAnsi="Calibri"/>
          <w:b w:val="0"/>
          <w:i w:val="0"/>
          <w:color w:val="1E293B"/>
          <w:sz w:val="21"/>
        </w:rPr>
        <w:t xml:space="preserve">As the supreme central banking authority, the </w:t>
      </w:r>
      <w:r>
        <w:rPr>
          <w:rFonts w:ascii="Calibri" w:hAnsi="Calibri"/>
          <w:b/>
          <w:i w:val="0"/>
          <w:color w:val="1E293B"/>
          <w:sz w:val="21"/>
        </w:rPr>
        <w:t>Reserve Bank of India (RBI)</w:t>
      </w:r>
      <w:r>
        <w:rPr>
          <w:rFonts w:ascii="Calibri" w:hAnsi="Calibri"/>
          <w:b w:val="0"/>
          <w:i w:val="0"/>
          <w:color w:val="1E293B"/>
          <w:sz w:val="21"/>
        </w:rPr>
        <w:t xml:space="preserve"> establishes mandatory prudential norms governing retail and commercial credit underwriting across all Scheduled Commercial Banks. The Intelligent Loan Appraisal System (ILAS) programmatically encodes these directives as hard boundary constraints.</w:t>
      </w:r>
    </w:p>
    <w:tbl>
      <w:tblPr>
        <w:tblW w:type="auto" w:w="0"/>
        <w:jc w:val="center"/>
        <w:tblLook w:firstColumn="1" w:firstRow="1" w:lastColumn="0" w:lastRow="0" w:noHBand="0" w:noVBand="1" w:val="04A0"/>
      </w:tblPr>
      <w:tblGrid>
        <w:gridCol w:w="9461"/>
      </w:tblGrid>
      <w:tr>
        <w:tc>
          <w:tcPr>
            <w:tcW w:type="dxa" w:w="9360"/>
            <w:shd w:fill="CBD5E1"/>
          </w:tcPr>
          <w:p>
            <w:pPr>
              <w:spacing w:before="20" w:after="20"/>
            </w:pPr>
          </w:p>
        </w:tc>
      </w:tr>
    </w:tbl>
    <w:p>
      <w:pPr>
        <w:spacing w:before="200" w:after="60"/>
      </w:pPr>
      <w:r>
        <w:rPr>
          <w:rFonts w:ascii="Calibri" w:hAnsi="Calibri"/>
          <w:b/>
          <w:i w:val="0"/>
          <w:color w:val="003366"/>
          <w:sz w:val="23"/>
        </w:rPr>
        <w:t>1. Statutory Loan-to-Value (LTV) and Risk-Weight Directives</w:t>
      </w:r>
    </w:p>
    <w:p>
      <w:pPr>
        <w:spacing w:before="40" w:after="100"/>
      </w:pPr>
      <w:r>
        <w:rPr>
          <w:rFonts w:ascii="Calibri" w:hAnsi="Calibri"/>
          <w:b w:val="0"/>
          <w:i w:val="0"/>
          <w:color w:val="1E293B"/>
          <w:sz w:val="21"/>
        </w:rPr>
        <w:t>Under RBI Master Circulars on Housing Finance (</w:t>
      </w:r>
      <w:r>
        <w:rPr>
          <w:rFonts w:ascii="Calibri" w:hAnsi="Calibri"/>
          <w:b w:val="0"/>
          <w:i/>
          <w:color w:val="1E293B"/>
          <w:sz w:val="21"/>
        </w:rPr>
        <w:t>RBI/2015-16/203 DBR.BP.BC.No.44/08.12.015/2015-16</w:t>
      </w:r>
      <w:r>
        <w:rPr>
          <w:rFonts w:ascii="Calibri" w:hAnsi="Calibri"/>
          <w:b w:val="0"/>
          <w:i w:val="0"/>
          <w:color w:val="1E293B"/>
          <w:sz w:val="21"/>
        </w:rPr>
        <w:t xml:space="preserve"> and subsequent revisions), loan disbursements for residential housing properties must strictly respect tiered LTV ceilings to prevent asset price bubbles and mitigate portfolio default exposure.</w:t>
      </w:r>
    </w:p>
    <w:tbl>
      <w:tblPr>
        <w:tblW w:type="auto" w:w="0"/>
        <w:jc w:val="center"/>
        <w:tblLook w:firstColumn="1" w:firstRow="1" w:lastColumn="0" w:lastRow="0" w:noHBand="0" w:noVBand="1" w:val="04A0"/>
      </w:tblPr>
      <w:tblGrid>
        <w:gridCol w:w="9461"/>
      </w:tblGrid>
      <w:tr>
        <w:tc>
          <w:tcPr>
            <w:tcW w:type="dxa" w:w="9360"/>
            <w:shd w:fill="F8FAFC"/>
            <w:tcMar>
              <w:top w:w="100" w:type="dxa"/>
              <w:bottom w:w="100" w:type="dxa"/>
              <w:left w:w="140" w:type="dxa"/>
              <w:right w:w="140" w:type="dxa"/>
            </w:tcMar>
            <w:tcBorders>
              <w:top w:val="none"/>
              <w:left w:val="single" w:sz="24" w:space="0" w:color="003366"/>
              <w:bottom w:val="none"/>
              <w:right w:val="none"/>
            </w:tcBorders>
          </w:tcPr>
          <w:p>
            <w:pPr>
              <w:spacing w:before="40" w:after="60"/>
            </w:pPr>
            <w:r>
              <w:rPr>
                <w:rFonts w:ascii="Calibri" w:hAnsi="Calibri"/>
                <w:b w:val="0"/>
                <w:i w:val="0"/>
                <w:color w:val="1E293B"/>
                <w:sz w:val="20"/>
              </w:rPr>
              <w:t xml:space="preserve">📐 </w:t>
            </w:r>
            <w:r>
              <w:rPr>
                <w:rFonts w:ascii="Calibri" w:hAnsi="Calibri"/>
                <w:b/>
                <w:i w:val="0"/>
                <w:color w:val="1E293B"/>
                <w:sz w:val="20"/>
              </w:rPr>
              <w:t>Loan-to-Value (LTV) Mathematical Formula:</w:t>
            </w:r>
          </w:p>
          <w:p>
            <w:pPr>
              <w:spacing w:before="40" w:after="40"/>
            </w:pPr>
            <w:r>
              <w:rPr>
                <w:rFonts w:ascii="Calibri" w:hAnsi="Calibri"/>
                <w:b/>
                <w:i w:val="0"/>
                <w:color w:val="1E293B"/>
                <w:sz w:val="20"/>
              </w:rPr>
              <w:t>LTV Ratio (%) = [ Requested Loan Quantum / Fair Market Property Valuation ] × 100</w:t>
            </w:r>
          </w:p>
        </w:tc>
      </w:tr>
    </w:tbl>
    <w:p>
      <w:pPr>
        <w:spacing w:before="0" w:after="120"/>
      </w:pPr>
    </w:p>
    <w:tbl>
      <w:tblPr>
        <w:tblW w:type="auto" w:w="0"/>
        <w:jc w:val="center"/>
        <w:tblLook w:firstColumn="1" w:firstRow="1" w:lastColumn="0" w:lastRow="0" w:noHBand="0" w:noVBand="1" w:val="04A0"/>
      </w:tblPr>
      <w:tblGrid>
        <w:gridCol w:w="9461"/>
      </w:tblGrid>
      <w:tr>
        <w:tc>
          <w:tcPr>
            <w:tcW w:type="dxa" w:w="9360"/>
            <w:shd w:fill="CBD5E1"/>
          </w:tcPr>
          <w:p>
            <w:pPr>
              <w:spacing w:before="20" w:after="20"/>
            </w:pPr>
          </w:p>
        </w:tc>
      </w:tr>
    </w:tbl>
    <w:p>
      <w:pPr>
        <w:spacing w:before="200" w:after="60"/>
      </w:pPr>
      <w:r>
        <w:rPr>
          <w:rFonts w:ascii="Calibri" w:hAnsi="Calibri"/>
          <w:b/>
          <w:i w:val="0"/>
          <w:color w:val="003366"/>
          <w:sz w:val="23"/>
        </w:rPr>
        <w:t>Table 2.1: Reserve Bank of India (RBI) Statutory LTV and Risk Weight Norms</w:t>
      </w:r>
    </w:p>
    <w:tbl>
      <w:tblPr>
        <w:tblW w:type="auto" w:w="0"/>
        <w:jc w:val="center"/>
        <w:tblLook w:firstColumn="1" w:firstRow="1" w:lastColumn="0" w:lastRow="0" w:noHBand="0" w:noVBand="1" w:val="04A0"/>
      </w:tblPr>
      <w:tblGrid>
        <w:gridCol w:w="1892"/>
        <w:gridCol w:w="1892"/>
        <w:gridCol w:w="1892"/>
        <w:gridCol w:w="1892"/>
        <w:gridCol w:w="1892"/>
      </w:tblGrid>
      <w:tr>
        <w:tc>
          <w:tcPr>
            <w:tcW w:type="dxa" w:w="1892"/>
            <w:shd w:fill="003366"/>
            <w:tcMar>
              <w:top w:w="70" w:type="dxa"/>
              <w:bottom w:w="70" w:type="dxa"/>
              <w:left w:w="90" w:type="dxa"/>
              <w:right w:w="90" w:type="dxa"/>
            </w:tcMar>
          </w:tcPr>
          <w:p>
            <w:pPr>
              <w:spacing w:before="40" w:after="40"/>
            </w:pPr>
            <w:r>
              <w:rPr>
                <w:rFonts w:ascii="Calibri" w:hAnsi="Calibri"/>
                <w:b/>
                <w:color w:val="FFFFFF"/>
                <w:sz w:val="19"/>
              </w:rPr>
              <w:t>Loan Quantum Tier</w:t>
            </w:r>
          </w:p>
        </w:tc>
        <w:tc>
          <w:tcPr>
            <w:tcW w:type="dxa" w:w="1892"/>
            <w:shd w:fill="003366"/>
            <w:tcMar>
              <w:top w:w="70" w:type="dxa"/>
              <w:bottom w:w="70" w:type="dxa"/>
              <w:left w:w="90" w:type="dxa"/>
              <w:right w:w="90" w:type="dxa"/>
            </w:tcMar>
          </w:tcPr>
          <w:p>
            <w:pPr>
              <w:spacing w:before="40" w:after="40"/>
            </w:pPr>
            <w:r>
              <w:rPr>
                <w:rFonts w:ascii="Calibri" w:hAnsi="Calibri"/>
                <w:b/>
                <w:color w:val="FFFFFF"/>
                <w:sz w:val="19"/>
              </w:rPr>
              <w:t>Maximum Permissible LTV Ratio</w:t>
            </w:r>
          </w:p>
        </w:tc>
        <w:tc>
          <w:tcPr>
            <w:tcW w:type="dxa" w:w="1892"/>
            <w:shd w:fill="003366"/>
            <w:tcMar>
              <w:top w:w="70" w:type="dxa"/>
              <w:bottom w:w="70" w:type="dxa"/>
              <w:left w:w="90" w:type="dxa"/>
              <w:right w:w="90" w:type="dxa"/>
            </w:tcMar>
          </w:tcPr>
          <w:p>
            <w:pPr>
              <w:spacing w:before="40" w:after="40"/>
            </w:pPr>
            <w:r>
              <w:rPr>
                <w:rFonts w:ascii="Calibri" w:hAnsi="Calibri"/>
                <w:b/>
                <w:color w:val="FFFFFF"/>
                <w:sz w:val="19"/>
              </w:rPr>
              <w:t>Statutory Minimum Borrower Margin</w:t>
            </w:r>
          </w:p>
        </w:tc>
        <w:tc>
          <w:tcPr>
            <w:tcW w:type="dxa" w:w="1892"/>
            <w:shd w:fill="003366"/>
            <w:tcMar>
              <w:top w:w="70" w:type="dxa"/>
              <w:bottom w:w="70" w:type="dxa"/>
              <w:left w:w="90" w:type="dxa"/>
              <w:right w:w="90" w:type="dxa"/>
            </w:tcMar>
          </w:tcPr>
          <w:p>
            <w:pPr>
              <w:spacing w:before="40" w:after="40"/>
            </w:pPr>
            <w:r>
              <w:rPr>
                <w:rFonts w:ascii="Calibri" w:hAnsi="Calibri"/>
                <w:b/>
                <w:color w:val="FFFFFF"/>
                <w:sz w:val="19"/>
              </w:rPr>
              <w:t>Applicable RBI Risk Weight</w:t>
            </w:r>
          </w:p>
        </w:tc>
        <w:tc>
          <w:tcPr>
            <w:tcW w:type="dxa" w:w="1892"/>
            <w:shd w:fill="003366"/>
            <w:tcMar>
              <w:top w:w="70" w:type="dxa"/>
              <w:bottom w:w="70" w:type="dxa"/>
              <w:left w:w="90" w:type="dxa"/>
              <w:right w:w="90" w:type="dxa"/>
            </w:tcMar>
          </w:tcPr>
          <w:p>
            <w:pPr>
              <w:spacing w:before="40" w:after="40"/>
            </w:pPr>
            <w:r>
              <w:rPr>
                <w:rFonts w:ascii="Calibri" w:hAnsi="Calibri"/>
                <w:b/>
                <w:color w:val="FFFFFF"/>
                <w:sz w:val="19"/>
              </w:rPr>
              <w:t>Capital Provisioning Impact</w:t>
            </w:r>
          </w:p>
        </w:tc>
      </w:tr>
      <w:tr>
        <w:tc>
          <w:tcPr>
            <w:tcW w:type="dxa" w:w="1892"/>
            <w:shd w:fill="F8FAFC"/>
            <w:tcMar>
              <w:top w:w="50" w:type="dxa"/>
              <w:bottom w:w="50" w:type="dxa"/>
              <w:left w:w="70" w:type="dxa"/>
              <w:right w:w="70" w:type="dxa"/>
            </w:tcMar>
          </w:tcPr>
          <w:p>
            <w:pPr>
              <w:spacing w:before="20" w:after="20"/>
            </w:pPr>
            <w:r>
              <w:rPr>
                <w:rFonts w:ascii="Calibri" w:hAnsi="Calibri"/>
                <w:b/>
                <w:i w:val="0"/>
                <w:color w:val="1E293B"/>
                <w:sz w:val="18"/>
              </w:rPr>
              <w:t>Up to ₹30.00 Lakhs</w:t>
            </w:r>
          </w:p>
        </w:tc>
        <w:tc>
          <w:tcPr>
            <w:tcW w:type="dxa" w:w="1892"/>
            <w:shd w:fill="F8FAFC"/>
            <w:tcMar>
              <w:top w:w="50" w:type="dxa"/>
              <w:bottom w:w="50" w:type="dxa"/>
              <w:left w:w="70" w:type="dxa"/>
              <w:right w:w="70" w:type="dxa"/>
            </w:tcMar>
          </w:tcPr>
          <w:p>
            <w:pPr>
              <w:spacing w:before="20" w:after="20"/>
            </w:pPr>
            <w:r>
              <w:rPr>
                <w:rFonts w:ascii="Calibri" w:hAnsi="Calibri"/>
                <w:b/>
                <w:i w:val="0"/>
                <w:color w:val="1E293B"/>
                <w:sz w:val="18"/>
              </w:rPr>
              <w:t>≤ 90.0%</w:t>
            </w:r>
          </w:p>
        </w:tc>
        <w:tc>
          <w:tcPr>
            <w:tcW w:type="dxa" w:w="1892"/>
            <w:shd w:fill="F8FAFC"/>
            <w:tcMar>
              <w:top w:w="50" w:type="dxa"/>
              <w:bottom w:w="50" w:type="dxa"/>
              <w:left w:w="70" w:type="dxa"/>
              <w:right w:w="70" w:type="dxa"/>
            </w:tcMar>
          </w:tcPr>
          <w:p>
            <w:pPr>
              <w:spacing w:before="20" w:after="20"/>
            </w:pPr>
            <w:r>
              <w:rPr>
                <w:rFonts w:ascii="Calibri" w:hAnsi="Calibri"/>
                <w:b w:val="0"/>
                <w:i w:val="0"/>
                <w:color w:val="1E293B"/>
                <w:sz w:val="18"/>
              </w:rPr>
              <w:t>10.0%</w:t>
            </w:r>
          </w:p>
        </w:tc>
        <w:tc>
          <w:tcPr>
            <w:tcW w:type="dxa" w:w="1892"/>
            <w:shd w:fill="F8FAFC"/>
            <w:tcMar>
              <w:top w:w="50" w:type="dxa"/>
              <w:bottom w:w="50" w:type="dxa"/>
              <w:left w:w="70" w:type="dxa"/>
              <w:right w:w="70" w:type="dxa"/>
            </w:tcMar>
          </w:tcPr>
          <w:p>
            <w:pPr>
              <w:spacing w:before="20" w:after="20"/>
            </w:pPr>
            <w:r>
              <w:rPr>
                <w:rFonts w:ascii="Calibri" w:hAnsi="Calibri"/>
                <w:b/>
                <w:i w:val="0"/>
                <w:color w:val="1E293B"/>
                <w:sz w:val="18"/>
              </w:rPr>
              <w:t>35.0%</w:t>
            </w:r>
          </w:p>
        </w:tc>
        <w:tc>
          <w:tcPr>
            <w:tcW w:type="dxa" w:w="1892"/>
            <w:shd w:fill="F8FAFC"/>
            <w:tcMar>
              <w:top w:w="50" w:type="dxa"/>
              <w:bottom w:w="50" w:type="dxa"/>
              <w:left w:w="70" w:type="dxa"/>
              <w:right w:w="70" w:type="dxa"/>
            </w:tcMar>
          </w:tcPr>
          <w:p>
            <w:pPr>
              <w:spacing w:before="20" w:after="20"/>
            </w:pPr>
            <w:r>
              <w:rPr>
                <w:rFonts w:ascii="Calibri" w:hAnsi="Calibri"/>
                <w:b w:val="0"/>
                <w:i w:val="0"/>
                <w:color w:val="1E293B"/>
                <w:sz w:val="18"/>
              </w:rPr>
              <w:t>Low Capital Charge (Standard Retail Advance)</w:t>
            </w:r>
          </w:p>
        </w:tc>
      </w:tr>
      <w:tr>
        <w:tc>
          <w:tcPr>
            <w:tcW w:type="dxa" w:w="1892"/>
            <w:shd w:fill="FFFFFF"/>
            <w:tcMar>
              <w:top w:w="50" w:type="dxa"/>
              <w:bottom w:w="50" w:type="dxa"/>
              <w:left w:w="70" w:type="dxa"/>
              <w:right w:w="70" w:type="dxa"/>
            </w:tcMar>
          </w:tcPr>
          <w:p>
            <w:pPr>
              <w:spacing w:before="20" w:after="20"/>
            </w:pPr>
            <w:r>
              <w:rPr>
                <w:rFonts w:ascii="Calibri" w:hAnsi="Calibri"/>
                <w:b/>
                <w:i w:val="0"/>
                <w:color w:val="1E293B"/>
                <w:sz w:val="18"/>
              </w:rPr>
              <w:t>₹30.01 Lakhs to ₹75.00 Lakhs</w:t>
            </w:r>
          </w:p>
        </w:tc>
        <w:tc>
          <w:tcPr>
            <w:tcW w:type="dxa" w:w="1892"/>
            <w:shd w:fill="FFFFFF"/>
            <w:tcMar>
              <w:top w:w="50" w:type="dxa"/>
              <w:bottom w:w="50" w:type="dxa"/>
              <w:left w:w="70" w:type="dxa"/>
              <w:right w:w="70" w:type="dxa"/>
            </w:tcMar>
          </w:tcPr>
          <w:p>
            <w:pPr>
              <w:spacing w:before="20" w:after="20"/>
            </w:pPr>
            <w:r>
              <w:rPr>
                <w:rFonts w:ascii="Calibri" w:hAnsi="Calibri"/>
                <w:b/>
                <w:i w:val="0"/>
                <w:color w:val="1E293B"/>
                <w:sz w:val="18"/>
              </w:rPr>
              <w:t>≤ 80.0%</w:t>
            </w:r>
          </w:p>
        </w:tc>
        <w:tc>
          <w:tcPr>
            <w:tcW w:type="dxa" w:w="1892"/>
            <w:shd w:fill="FFFFFF"/>
            <w:tcMar>
              <w:top w:w="50" w:type="dxa"/>
              <w:bottom w:w="50" w:type="dxa"/>
              <w:left w:w="70" w:type="dxa"/>
              <w:right w:w="70" w:type="dxa"/>
            </w:tcMar>
          </w:tcPr>
          <w:p>
            <w:pPr>
              <w:spacing w:before="20" w:after="20"/>
            </w:pPr>
            <w:r>
              <w:rPr>
                <w:rFonts w:ascii="Calibri" w:hAnsi="Calibri"/>
                <w:b w:val="0"/>
                <w:i w:val="0"/>
                <w:color w:val="1E293B"/>
                <w:sz w:val="18"/>
              </w:rPr>
              <w:t>20.0%</w:t>
            </w:r>
          </w:p>
        </w:tc>
        <w:tc>
          <w:tcPr>
            <w:tcW w:type="dxa" w:w="1892"/>
            <w:shd w:fill="FFFFFF"/>
            <w:tcMar>
              <w:top w:w="50" w:type="dxa"/>
              <w:bottom w:w="50" w:type="dxa"/>
              <w:left w:w="70" w:type="dxa"/>
              <w:right w:w="70" w:type="dxa"/>
            </w:tcMar>
          </w:tcPr>
          <w:p>
            <w:pPr>
              <w:spacing w:before="20" w:after="20"/>
            </w:pPr>
            <w:r>
              <w:rPr>
                <w:rFonts w:ascii="Calibri" w:hAnsi="Calibri"/>
                <w:b/>
                <w:i w:val="0"/>
                <w:color w:val="1E293B"/>
                <w:sz w:val="18"/>
              </w:rPr>
              <w:t>35.0%</w:t>
            </w:r>
            <w:r>
              <w:rPr>
                <w:rFonts w:ascii="Calibri" w:hAnsi="Calibri"/>
                <w:b w:val="0"/>
                <w:i w:val="0"/>
                <w:color w:val="1E293B"/>
                <w:sz w:val="18"/>
              </w:rPr>
              <w:t xml:space="preserve"> (if LTV ≤ 75%) / </w:t>
            </w:r>
            <w:r>
              <w:rPr>
                <w:rFonts w:ascii="Calibri" w:hAnsi="Calibri"/>
                <w:b/>
                <w:i w:val="0"/>
                <w:color w:val="1E293B"/>
                <w:sz w:val="18"/>
              </w:rPr>
              <w:t>50.0%</w:t>
            </w:r>
          </w:p>
        </w:tc>
        <w:tc>
          <w:tcPr>
            <w:tcW w:type="dxa" w:w="1892"/>
            <w:shd w:fill="FFFFFF"/>
            <w:tcMar>
              <w:top w:w="50" w:type="dxa"/>
              <w:bottom w:w="50" w:type="dxa"/>
              <w:left w:w="70" w:type="dxa"/>
              <w:right w:w="70" w:type="dxa"/>
            </w:tcMar>
          </w:tcPr>
          <w:p>
            <w:pPr>
              <w:spacing w:before="20" w:after="20"/>
            </w:pPr>
            <w:r>
              <w:rPr>
                <w:rFonts w:ascii="Calibri" w:hAnsi="Calibri"/>
                <w:b w:val="0"/>
                <w:i w:val="0"/>
                <w:color w:val="1E293B"/>
                <w:sz w:val="18"/>
              </w:rPr>
              <w:t>Moderate Capital Charge</w:t>
            </w:r>
          </w:p>
        </w:tc>
      </w:tr>
      <w:tr>
        <w:tc>
          <w:tcPr>
            <w:tcW w:type="dxa" w:w="1892"/>
            <w:shd w:fill="F8FAFC"/>
            <w:tcMar>
              <w:top w:w="50" w:type="dxa"/>
              <w:bottom w:w="50" w:type="dxa"/>
              <w:left w:w="70" w:type="dxa"/>
              <w:right w:w="70" w:type="dxa"/>
            </w:tcMar>
          </w:tcPr>
          <w:p>
            <w:pPr>
              <w:spacing w:before="20" w:after="20"/>
            </w:pPr>
            <w:r>
              <w:rPr>
                <w:rFonts w:ascii="Calibri" w:hAnsi="Calibri"/>
                <w:b/>
                <w:i w:val="0"/>
                <w:color w:val="1E293B"/>
                <w:sz w:val="18"/>
              </w:rPr>
              <w:t>Above ₹75.00 Lakhs</w:t>
            </w:r>
          </w:p>
        </w:tc>
        <w:tc>
          <w:tcPr>
            <w:tcW w:type="dxa" w:w="1892"/>
            <w:shd w:fill="F8FAFC"/>
            <w:tcMar>
              <w:top w:w="50" w:type="dxa"/>
              <w:bottom w:w="50" w:type="dxa"/>
              <w:left w:w="70" w:type="dxa"/>
              <w:right w:w="70" w:type="dxa"/>
            </w:tcMar>
          </w:tcPr>
          <w:p>
            <w:pPr>
              <w:spacing w:before="20" w:after="20"/>
            </w:pPr>
            <w:r>
              <w:rPr>
                <w:rFonts w:ascii="Calibri" w:hAnsi="Calibri"/>
                <w:b/>
                <w:i w:val="0"/>
                <w:color w:val="1E293B"/>
                <w:sz w:val="18"/>
              </w:rPr>
              <w:t>≤ 75.0%</w:t>
            </w:r>
          </w:p>
        </w:tc>
        <w:tc>
          <w:tcPr>
            <w:tcW w:type="dxa" w:w="1892"/>
            <w:shd w:fill="F8FAFC"/>
            <w:tcMar>
              <w:top w:w="50" w:type="dxa"/>
              <w:bottom w:w="50" w:type="dxa"/>
              <w:left w:w="70" w:type="dxa"/>
              <w:right w:w="70" w:type="dxa"/>
            </w:tcMar>
          </w:tcPr>
          <w:p>
            <w:pPr>
              <w:spacing w:before="20" w:after="20"/>
            </w:pPr>
            <w:r>
              <w:rPr>
                <w:rFonts w:ascii="Calibri" w:hAnsi="Calibri"/>
                <w:b w:val="0"/>
                <w:i w:val="0"/>
                <w:color w:val="1E293B"/>
                <w:sz w:val="18"/>
              </w:rPr>
              <w:t>25.0%</w:t>
            </w:r>
          </w:p>
        </w:tc>
        <w:tc>
          <w:tcPr>
            <w:tcW w:type="dxa" w:w="1892"/>
            <w:shd w:fill="F8FAFC"/>
            <w:tcMar>
              <w:top w:w="50" w:type="dxa"/>
              <w:bottom w:w="50" w:type="dxa"/>
              <w:left w:w="70" w:type="dxa"/>
              <w:right w:w="70" w:type="dxa"/>
            </w:tcMar>
          </w:tcPr>
          <w:p>
            <w:pPr>
              <w:spacing w:before="20" w:after="20"/>
            </w:pPr>
            <w:r>
              <w:rPr>
                <w:rFonts w:ascii="Calibri" w:hAnsi="Calibri"/>
                <w:b/>
                <w:i w:val="0"/>
                <w:color w:val="1E293B"/>
                <w:sz w:val="18"/>
              </w:rPr>
              <w:t>50.0%</w:t>
            </w:r>
          </w:p>
        </w:tc>
        <w:tc>
          <w:tcPr>
            <w:tcW w:type="dxa" w:w="1892"/>
            <w:shd w:fill="F8FAFC"/>
            <w:tcMar>
              <w:top w:w="50" w:type="dxa"/>
              <w:bottom w:w="50" w:type="dxa"/>
              <w:left w:w="70" w:type="dxa"/>
              <w:right w:w="70" w:type="dxa"/>
            </w:tcMar>
          </w:tcPr>
          <w:p>
            <w:pPr>
              <w:spacing w:before="20" w:after="20"/>
            </w:pPr>
            <w:r>
              <w:rPr>
                <w:rFonts w:ascii="Calibri" w:hAnsi="Calibri"/>
                <w:b w:val="0"/>
                <w:i w:val="0"/>
                <w:color w:val="1E293B"/>
                <w:sz w:val="18"/>
              </w:rPr>
              <w:t>Standard Risk Weight Capital Buffer</w:t>
            </w:r>
          </w:p>
        </w:tc>
      </w:tr>
      <w:tr>
        <w:tc>
          <w:tcPr>
            <w:tcW w:type="dxa" w:w="1892"/>
            <w:shd w:fill="FFFFFF"/>
            <w:tcMar>
              <w:top w:w="50" w:type="dxa"/>
              <w:bottom w:w="50" w:type="dxa"/>
              <w:left w:w="70" w:type="dxa"/>
              <w:right w:w="70" w:type="dxa"/>
            </w:tcMar>
          </w:tcPr>
          <w:p>
            <w:pPr>
              <w:spacing w:before="20" w:after="20"/>
            </w:pPr>
            <w:r>
              <w:rPr>
                <w:rFonts w:ascii="Calibri" w:hAnsi="Calibri"/>
                <w:b/>
                <w:i w:val="0"/>
                <w:color w:val="1E293B"/>
                <w:sz w:val="18"/>
              </w:rPr>
              <w:t>Commercial Real Estate (CRE)</w:t>
            </w:r>
          </w:p>
        </w:tc>
        <w:tc>
          <w:tcPr>
            <w:tcW w:type="dxa" w:w="1892"/>
            <w:shd w:fill="FFFFFF"/>
            <w:tcMar>
              <w:top w:w="50" w:type="dxa"/>
              <w:bottom w:w="50" w:type="dxa"/>
              <w:left w:w="70" w:type="dxa"/>
              <w:right w:w="70" w:type="dxa"/>
            </w:tcMar>
          </w:tcPr>
          <w:p>
            <w:pPr>
              <w:spacing w:before="20" w:after="20"/>
            </w:pPr>
            <w:r>
              <w:rPr>
                <w:rFonts w:ascii="Calibri" w:hAnsi="Calibri"/>
                <w:b/>
                <w:i w:val="0"/>
                <w:color w:val="1E293B"/>
                <w:sz w:val="18"/>
              </w:rPr>
              <w:t>≤ 65.0%</w:t>
            </w:r>
          </w:p>
        </w:tc>
        <w:tc>
          <w:tcPr>
            <w:tcW w:type="dxa" w:w="1892"/>
            <w:shd w:fill="FFFFFF"/>
            <w:tcMar>
              <w:top w:w="50" w:type="dxa"/>
              <w:bottom w:w="50" w:type="dxa"/>
              <w:left w:w="70" w:type="dxa"/>
              <w:right w:w="70" w:type="dxa"/>
            </w:tcMar>
          </w:tcPr>
          <w:p>
            <w:pPr>
              <w:spacing w:before="20" w:after="20"/>
            </w:pPr>
            <w:r>
              <w:rPr>
                <w:rFonts w:ascii="Calibri" w:hAnsi="Calibri"/>
                <w:b w:val="0"/>
                <w:i w:val="0"/>
                <w:color w:val="1E293B"/>
                <w:sz w:val="18"/>
              </w:rPr>
              <w:t>35.0%</w:t>
            </w:r>
          </w:p>
        </w:tc>
        <w:tc>
          <w:tcPr>
            <w:tcW w:type="dxa" w:w="1892"/>
            <w:shd w:fill="FFFFFF"/>
            <w:tcMar>
              <w:top w:w="50" w:type="dxa"/>
              <w:bottom w:w="50" w:type="dxa"/>
              <w:left w:w="70" w:type="dxa"/>
              <w:right w:w="70" w:type="dxa"/>
            </w:tcMar>
          </w:tcPr>
          <w:p>
            <w:pPr>
              <w:spacing w:before="20" w:after="20"/>
            </w:pPr>
            <w:r>
              <w:rPr>
                <w:rFonts w:ascii="Calibri" w:hAnsi="Calibri"/>
                <w:b/>
                <w:i w:val="0"/>
                <w:color w:val="1E293B"/>
                <w:sz w:val="18"/>
              </w:rPr>
              <w:t>100.0%</w:t>
            </w:r>
          </w:p>
        </w:tc>
        <w:tc>
          <w:tcPr>
            <w:tcW w:type="dxa" w:w="1892"/>
            <w:shd w:fill="FFFFFF"/>
            <w:tcMar>
              <w:top w:w="50" w:type="dxa"/>
              <w:bottom w:w="50" w:type="dxa"/>
              <w:left w:w="70" w:type="dxa"/>
              <w:right w:w="70" w:type="dxa"/>
            </w:tcMar>
          </w:tcPr>
          <w:p>
            <w:pPr>
              <w:spacing w:before="20" w:after="20"/>
            </w:pPr>
            <w:r>
              <w:rPr>
                <w:rFonts w:ascii="Calibri" w:hAnsi="Calibri"/>
                <w:b w:val="0"/>
                <w:i w:val="0"/>
                <w:color w:val="1E293B"/>
                <w:sz w:val="18"/>
              </w:rPr>
              <w:t>High Capital Provisioning Requirement</w:t>
            </w:r>
          </w:p>
        </w:tc>
      </w:tr>
    </w:tbl>
    <w:p>
      <w:pPr>
        <w:spacing w:before="0" w:after="160"/>
      </w:pPr>
    </w:p>
    <w:p>
      <w:pPr>
        <w:spacing w:before="40" w:after="100"/>
      </w:pPr>
      <w:r>
        <w:rPr>
          <w:rFonts w:ascii="Calibri" w:hAnsi="Calibri"/>
          <w:b w:val="0"/>
          <w:i w:val="0"/>
          <w:color w:val="1E293B"/>
          <w:sz w:val="21"/>
        </w:rPr>
        <w:t xml:space="preserve">In ILAS, the </w:t>
      </w:r>
      <w:r>
        <w:rPr>
          <w:rFonts w:ascii="Calibri" w:hAnsi="Calibri"/>
          <w:b/>
          <w:i w:val="0"/>
          <w:color w:val="1E293B"/>
          <w:sz w:val="21"/>
        </w:rPr>
        <w:t>Financial Analysis Agent</w:t>
      </w:r>
      <w:r>
        <w:rPr>
          <w:rFonts w:ascii="Calibri" w:hAnsi="Calibri"/>
          <w:b w:val="0"/>
          <w:i w:val="0"/>
          <w:color w:val="1E293B"/>
          <w:sz w:val="21"/>
        </w:rPr>
        <w:t xml:space="preserve"> and </w:t>
      </w:r>
      <w:r>
        <w:rPr>
          <w:rFonts w:ascii="Calibri" w:hAnsi="Calibri"/>
          <w:b/>
          <w:i w:val="0"/>
          <w:color w:val="1E293B"/>
          <w:sz w:val="21"/>
        </w:rPr>
        <w:t>Decision Synthesis Agent</w:t>
      </w:r>
      <w:r>
        <w:rPr>
          <w:rFonts w:ascii="Calibri" w:hAnsi="Calibri"/>
          <w:b w:val="0"/>
          <w:i w:val="0"/>
          <w:color w:val="1E293B"/>
          <w:sz w:val="21"/>
        </w:rPr>
        <w:t xml:space="preserve"> continuously validate borrower requests against Table 2.1. If the calculated LTV exceeds the statutory ceiling, the application is automatically flagged for </w:t>
      </w:r>
      <w:r>
        <w:rPr>
          <w:rFonts w:ascii="Calibri" w:hAnsi="Calibri"/>
          <w:b/>
          <w:i w:val="0"/>
          <w:color w:val="1E293B"/>
          <w:sz w:val="21"/>
        </w:rPr>
        <w:t>Sanction Clamping</w:t>
      </w:r>
      <w:r>
        <w:rPr>
          <w:rFonts w:ascii="Calibri" w:hAnsi="Calibri"/>
          <w:b w:val="0"/>
          <w:i w:val="0"/>
          <w:color w:val="1E293B"/>
          <w:sz w:val="21"/>
        </w:rPr>
        <w:t xml:space="preserve"> or </w:t>
      </w:r>
      <w:r>
        <w:rPr>
          <w:rFonts w:ascii="Calibri" w:hAnsi="Calibri"/>
          <w:b/>
          <w:i w:val="0"/>
          <w:color w:val="1E293B"/>
          <w:sz w:val="21"/>
        </w:rPr>
        <w:t>Hard Rejection</w:t>
      </w:r>
      <w:r>
        <w:rPr>
          <w:rFonts w:ascii="Calibri" w:hAnsi="Calibri"/>
          <w:b w:val="0"/>
          <w:i w:val="0"/>
          <w:color w:val="1E293B"/>
          <w:sz w:val="21"/>
        </w:rPr>
        <w:t xml:space="preserve"> unless backed by statutory credit guarantees (e.g., CGTMSE).</w:t>
      </w:r>
    </w:p>
    <w:tbl>
      <w:tblPr>
        <w:tblW w:type="auto" w:w="0"/>
        <w:jc w:val="center"/>
        <w:tblLook w:firstColumn="1" w:firstRow="1" w:lastColumn="0" w:lastRow="0" w:noHBand="0" w:noVBand="1" w:val="04A0"/>
      </w:tblPr>
      <w:tblGrid>
        <w:gridCol w:w="9461"/>
      </w:tblGrid>
      <w:tr>
        <w:tc>
          <w:tcPr>
            <w:tcW w:type="dxa" w:w="9360"/>
            <w:shd w:fill="CBD5E1"/>
          </w:tcPr>
          <w:p>
            <w:pPr>
              <w:spacing w:before="20" w:after="20"/>
            </w:pPr>
          </w:p>
        </w:tc>
      </w:tr>
    </w:tbl>
    <w:p>
      <w:pPr>
        <w:spacing w:before="200" w:after="60"/>
      </w:pPr>
      <w:r>
        <w:rPr>
          <w:rFonts w:ascii="Calibri" w:hAnsi="Calibri"/>
          <w:b/>
          <w:i w:val="0"/>
          <w:color w:val="003366"/>
          <w:sz w:val="23"/>
        </w:rPr>
        <w:t>2. Fixed Obligation to Income Ratio (FOIR) Directives</w:t>
      </w:r>
    </w:p>
    <w:p>
      <w:pPr>
        <w:spacing w:before="40" w:after="100"/>
      </w:pPr>
      <w:r>
        <w:rPr>
          <w:rFonts w:ascii="Calibri" w:hAnsi="Calibri"/>
          <w:b w:val="0"/>
          <w:i w:val="0"/>
          <w:color w:val="1E293B"/>
          <w:sz w:val="21"/>
        </w:rPr>
        <w:t>To prevent household over-indebtedness, Indian banking standards cap the total monthly debt service obligations of a borrower relative to their verified monthly gross income:</w:t>
      </w:r>
    </w:p>
    <w:tbl>
      <w:tblPr>
        <w:tblW w:type="auto" w:w="0"/>
        <w:jc w:val="center"/>
        <w:tblLook w:firstColumn="1" w:firstRow="1" w:lastColumn="0" w:lastRow="0" w:noHBand="0" w:noVBand="1" w:val="04A0"/>
      </w:tblPr>
      <w:tblGrid>
        <w:gridCol w:w="9461"/>
      </w:tblGrid>
      <w:tr>
        <w:tc>
          <w:tcPr>
            <w:tcW w:type="dxa" w:w="9360"/>
            <w:shd w:fill="F8FAFC"/>
            <w:tcMar>
              <w:top w:w="100" w:type="dxa"/>
              <w:bottom w:w="100" w:type="dxa"/>
              <w:left w:w="140" w:type="dxa"/>
              <w:right w:w="140" w:type="dxa"/>
            </w:tcMar>
            <w:tcBorders>
              <w:top w:val="none"/>
              <w:left w:val="single" w:sz="24" w:space="0" w:color="003366"/>
              <w:bottom w:val="none"/>
              <w:right w:val="none"/>
            </w:tcBorders>
          </w:tcPr>
          <w:p>
            <w:pPr>
              <w:spacing w:before="40" w:after="60"/>
            </w:pPr>
            <w:r>
              <w:rPr>
                <w:rFonts w:ascii="Calibri" w:hAnsi="Calibri"/>
                <w:b w:val="0"/>
                <w:i w:val="0"/>
                <w:color w:val="1E293B"/>
                <w:sz w:val="20"/>
              </w:rPr>
              <w:t xml:space="preserve">📐 </w:t>
            </w:r>
            <w:r>
              <w:rPr>
                <w:rFonts w:ascii="Calibri" w:hAnsi="Calibri"/>
                <w:b/>
                <w:i w:val="0"/>
                <w:color w:val="1E293B"/>
                <w:sz w:val="20"/>
              </w:rPr>
              <w:t>Fixed Obligation to Income Ratio (FOIR) Mathematical Formula:</w:t>
            </w:r>
          </w:p>
          <w:p>
            <w:pPr>
              <w:spacing w:before="40" w:after="40"/>
            </w:pPr>
            <w:r>
              <w:rPr>
                <w:rFonts w:ascii="Calibri" w:hAnsi="Calibri"/>
                <w:b/>
                <w:i w:val="0"/>
                <w:color w:val="1E293B"/>
                <w:sz w:val="20"/>
              </w:rPr>
              <w:t>FOIR (%) = [ (Total Existing Monthly EMIs + Proposed Loan Monthly EMI) / Verified Gross Monthly Income ] × 100</w:t>
            </w:r>
          </w:p>
        </w:tc>
      </w:tr>
    </w:tbl>
    <w:p>
      <w:pPr>
        <w:spacing w:before="0" w:after="120"/>
      </w:pPr>
    </w:p>
    <w:p>
      <w:pPr>
        <w:spacing w:before="40" w:after="40"/>
        <w:ind w:left="288"/>
      </w:pPr>
      <w:r>
        <w:rPr>
          <w:rFonts w:ascii="Calibri" w:hAnsi="Calibri"/>
          <w:b/>
          <w:color w:val="003366"/>
        </w:rPr>
        <w:t xml:space="preserve">• </w:t>
      </w:r>
      <w:r>
        <w:rPr>
          <w:rFonts w:ascii="Calibri" w:hAnsi="Calibri"/>
          <w:b/>
          <w:i w:val="0"/>
          <w:color w:val="1E293B"/>
          <w:sz w:val="21"/>
        </w:rPr>
        <w:t>Standard Retail Benchmark</w:t>
      </w:r>
      <w:r>
        <w:rPr>
          <w:rFonts w:ascii="Calibri" w:hAnsi="Calibri"/>
          <w:b w:val="0"/>
          <w:i w:val="0"/>
          <w:color w:val="1E293B"/>
          <w:sz w:val="21"/>
        </w:rPr>
        <w:t xml:space="preserve">: </w:t>
      </w:r>
      <w:r>
        <w:rPr>
          <w:rFonts w:ascii="Calibri" w:hAnsi="Calibri"/>
          <w:b/>
          <w:i w:val="0"/>
          <w:color w:val="1E293B"/>
          <w:sz w:val="21"/>
        </w:rPr>
        <w:t>FOIR ≤ 50.0%</w:t>
      </w:r>
      <w:r>
        <w:rPr>
          <w:rFonts w:ascii="Calibri" w:hAnsi="Calibri"/>
          <w:b w:val="0"/>
          <w:i w:val="0"/>
          <w:color w:val="1E293B"/>
          <w:sz w:val="21"/>
        </w:rPr>
        <w:t xml:space="preserve"> for all standard retail applicants.</w:t>
      </w:r>
    </w:p>
    <w:p>
      <w:pPr>
        <w:spacing w:before="40" w:after="40"/>
        <w:ind w:left="288"/>
      </w:pPr>
      <w:r>
        <w:rPr>
          <w:rFonts w:ascii="Calibri" w:hAnsi="Calibri"/>
          <w:b/>
          <w:color w:val="003366"/>
        </w:rPr>
        <w:t xml:space="preserve">• </w:t>
      </w:r>
      <w:r>
        <w:rPr>
          <w:rFonts w:ascii="Calibri" w:hAnsi="Calibri"/>
          <w:b/>
          <w:i w:val="0"/>
          <w:color w:val="1E293B"/>
          <w:sz w:val="21"/>
        </w:rPr>
        <w:t>Affluent / High-Income Segment</w:t>
      </w:r>
      <w:r>
        <w:rPr>
          <w:rFonts w:ascii="Calibri" w:hAnsi="Calibri"/>
          <w:b w:val="0"/>
          <w:i w:val="0"/>
          <w:color w:val="1E293B"/>
          <w:sz w:val="21"/>
        </w:rPr>
        <w:t xml:space="preserve">: Maximum </w:t>
      </w:r>
      <w:r>
        <w:rPr>
          <w:rFonts w:ascii="Calibri" w:hAnsi="Calibri"/>
          <w:b/>
          <w:i w:val="0"/>
          <w:color w:val="1E293B"/>
          <w:sz w:val="21"/>
        </w:rPr>
        <w:t>60.0%</w:t>
      </w:r>
      <w:r>
        <w:rPr>
          <w:rFonts w:ascii="Calibri" w:hAnsi="Calibri"/>
          <w:b w:val="0"/>
          <w:i w:val="0"/>
          <w:color w:val="1E293B"/>
          <w:sz w:val="21"/>
        </w:rPr>
        <w:t xml:space="preserve"> permissible only for high net worth salaried borrowers where net surplus monthly disposable income exceeds ₹1,00,000.</w:t>
      </w:r>
    </w:p>
    <w:tbl>
      <w:tblPr>
        <w:tblW w:type="auto" w:w="0"/>
        <w:jc w:val="center"/>
        <w:tblLook w:firstColumn="1" w:firstRow="1" w:lastColumn="0" w:lastRow="0" w:noHBand="0" w:noVBand="1" w:val="04A0"/>
      </w:tblPr>
      <w:tblGrid>
        <w:gridCol w:w="9461"/>
      </w:tblGrid>
      <w:tr>
        <w:tc>
          <w:tcPr>
            <w:tcW w:type="dxa" w:w="9360"/>
            <w:shd w:fill="CBD5E1"/>
          </w:tcPr>
          <w:p>
            <w:pPr>
              <w:spacing w:before="20" w:after="20"/>
            </w:pPr>
          </w:p>
        </w:tc>
      </w:tr>
    </w:tbl>
    <w:p>
      <w:pPr>
        <w:spacing w:before="200" w:after="60"/>
      </w:pPr>
      <w:r>
        <w:rPr>
          <w:rFonts w:ascii="Calibri" w:hAnsi="Calibri"/>
          <w:b/>
          <w:i w:val="0"/>
          <w:color w:val="003366"/>
          <w:sz w:val="23"/>
        </w:rPr>
        <w:t>3. Revised MSME Composite Classification Criteria (MSMED Act 2020)</w:t>
      </w:r>
    </w:p>
    <w:p>
      <w:pPr>
        <w:spacing w:before="40" w:after="100"/>
      </w:pPr>
      <w:r>
        <w:rPr>
          <w:rFonts w:ascii="Calibri" w:hAnsi="Calibri"/>
          <w:b w:val="0"/>
          <w:i w:val="0"/>
          <w:color w:val="1E293B"/>
          <w:sz w:val="21"/>
        </w:rPr>
        <w:t>Under the Ministry of Micro, Small and Medium Enterprises notification (</w:t>
      </w:r>
      <w:r>
        <w:rPr>
          <w:rFonts w:ascii="Calibri" w:hAnsi="Calibri"/>
          <w:b w:val="0"/>
          <w:i/>
          <w:color w:val="1E293B"/>
          <w:sz w:val="21"/>
        </w:rPr>
        <w:t>S.O. 2119(E) dated 26.06.2020</w:t>
      </w:r>
      <w:r>
        <w:rPr>
          <w:rFonts w:ascii="Calibri" w:hAnsi="Calibri"/>
          <w:b w:val="0"/>
          <w:i w:val="0"/>
          <w:color w:val="1E293B"/>
          <w:sz w:val="21"/>
        </w:rPr>
        <w:t>), composite classification criteria apply uniformly across manufacturing and service enterprises:</w:t>
      </w:r>
    </w:p>
    <w:p>
      <w:pPr>
        <w:spacing w:before="40" w:after="40"/>
        <w:ind w:left="288"/>
      </w:pPr>
      <w:r>
        <w:rPr>
          <w:rFonts w:ascii="Calibri" w:hAnsi="Calibri"/>
          <w:b/>
          <w:color w:val="003366"/>
        </w:rPr>
        <w:t xml:space="preserve">• </w:t>
      </w:r>
      <w:r>
        <w:rPr>
          <w:rFonts w:ascii="Calibri" w:hAnsi="Calibri"/>
          <w:b/>
          <w:i w:val="0"/>
          <w:color w:val="1E293B"/>
          <w:sz w:val="21"/>
        </w:rPr>
        <w:t>Micro Enterprise</w:t>
      </w:r>
      <w:r>
        <w:rPr>
          <w:rFonts w:ascii="Calibri" w:hAnsi="Calibri"/>
          <w:b w:val="0"/>
          <w:i w:val="0"/>
          <w:color w:val="1E293B"/>
          <w:sz w:val="21"/>
        </w:rPr>
        <w:t>: Investment in Plant &amp; Machinery ≤ ₹1.00 Crore AND Annual Turnover ≤ ₹5.00 Crores.</w:t>
      </w:r>
    </w:p>
    <w:p>
      <w:pPr>
        <w:spacing w:before="40" w:after="40"/>
        <w:ind w:left="288"/>
      </w:pPr>
      <w:r>
        <w:rPr>
          <w:rFonts w:ascii="Calibri" w:hAnsi="Calibri"/>
          <w:b/>
          <w:color w:val="003366"/>
        </w:rPr>
        <w:t xml:space="preserve">• </w:t>
      </w:r>
      <w:r>
        <w:rPr>
          <w:rFonts w:ascii="Calibri" w:hAnsi="Calibri"/>
          <w:b/>
          <w:i w:val="0"/>
          <w:color w:val="1E293B"/>
          <w:sz w:val="21"/>
        </w:rPr>
        <w:t>Small Enterprise</w:t>
      </w:r>
      <w:r>
        <w:rPr>
          <w:rFonts w:ascii="Calibri" w:hAnsi="Calibri"/>
          <w:b w:val="0"/>
          <w:i w:val="0"/>
          <w:color w:val="1E293B"/>
          <w:sz w:val="21"/>
        </w:rPr>
        <w:t>: Investment in Plant &amp; Machinery ≤ ₹10.00 Crores AND Annual Turnover ≤ ₹50.00 Crores.</w:t>
      </w:r>
    </w:p>
    <w:p>
      <w:pPr>
        <w:spacing w:before="40" w:after="40"/>
        <w:ind w:left="288"/>
      </w:pPr>
      <w:r>
        <w:rPr>
          <w:rFonts w:ascii="Calibri" w:hAnsi="Calibri"/>
          <w:b/>
          <w:color w:val="003366"/>
        </w:rPr>
        <w:t xml:space="preserve">• </w:t>
      </w:r>
      <w:r>
        <w:rPr>
          <w:rFonts w:ascii="Calibri" w:hAnsi="Calibri"/>
          <w:b/>
          <w:i w:val="0"/>
          <w:color w:val="1E293B"/>
          <w:sz w:val="21"/>
        </w:rPr>
        <w:t>Medium Enterprise</w:t>
      </w:r>
      <w:r>
        <w:rPr>
          <w:rFonts w:ascii="Calibri" w:hAnsi="Calibri"/>
          <w:b w:val="0"/>
          <w:i w:val="0"/>
          <w:color w:val="1E293B"/>
          <w:sz w:val="21"/>
        </w:rPr>
        <w:t>: Investment in Plant &amp; Machinery ≤ ₹50.00 Crores AND Annual Turnover ≤ ₹250.00 Crores.</w:t>
      </w:r>
    </w:p>
    <w:tbl>
      <w:tblPr>
        <w:tblW w:type="auto" w:w="0"/>
        <w:jc w:val="center"/>
        <w:tblLook w:firstColumn="1" w:firstRow="1" w:lastColumn="0" w:lastRow="0" w:noHBand="0" w:noVBand="1" w:val="04A0"/>
      </w:tblPr>
      <w:tblGrid>
        <w:gridCol w:w="9461"/>
      </w:tblGrid>
      <w:tr>
        <w:tc>
          <w:tcPr>
            <w:tcW w:type="dxa" w:w="9360"/>
            <w:shd w:fill="CBD5E1"/>
          </w:tcPr>
          <w:p>
            <w:pPr>
              <w:spacing w:before="20" w:after="20"/>
            </w:pPr>
          </w:p>
        </w:tc>
      </w:tr>
    </w:tbl>
    <w:p>
      <w:pPr>
        <w:spacing w:before="200" w:after="60"/>
      </w:pPr>
      <w:r>
        <w:rPr>
          <w:rFonts w:ascii="Calibri" w:hAnsi="Calibri"/>
          <w:b/>
          <w:i w:val="0"/>
          <w:color w:val="003366"/>
          <w:sz w:val="23"/>
        </w:rPr>
        <w:t>4. External Benchmark Lending Rate (EBLR / RBLR) Regime</w:t>
      </w:r>
    </w:p>
    <w:p>
      <w:pPr>
        <w:spacing w:before="40" w:after="100"/>
      </w:pPr>
      <w:r>
        <w:rPr>
          <w:rFonts w:ascii="Calibri" w:hAnsi="Calibri"/>
          <w:b w:val="0"/>
          <w:i w:val="0"/>
          <w:color w:val="1E293B"/>
          <w:sz w:val="21"/>
        </w:rPr>
        <w:t xml:space="preserve">Under RBI Master Direction </w:t>
      </w:r>
      <w:r>
        <w:rPr>
          <w:rFonts w:ascii="Calibri" w:hAnsi="Calibri"/>
          <w:b w:val="0"/>
          <w:i/>
          <w:color w:val="1E293B"/>
          <w:sz w:val="21"/>
        </w:rPr>
        <w:t>DBR.Dir.No.85/13.03.00/2019-20 dated 04.09.2019</w:t>
      </w:r>
      <w:r>
        <w:rPr>
          <w:rFonts w:ascii="Calibri" w:hAnsi="Calibri"/>
          <w:b w:val="0"/>
          <w:i w:val="0"/>
          <w:color w:val="1E293B"/>
          <w:sz w:val="21"/>
        </w:rPr>
        <w:t xml:space="preserve">, all scheduled commercial banks must link all floating-rate personal, retail, and MSME loans to an </w:t>
      </w:r>
      <w:r>
        <w:rPr>
          <w:rFonts w:ascii="Calibri" w:hAnsi="Calibri"/>
          <w:b/>
          <w:i w:val="0"/>
          <w:color w:val="1E293B"/>
          <w:sz w:val="21"/>
        </w:rPr>
        <w:t>External Benchmark Lending Rate</w:t>
      </w:r>
      <w:r>
        <w:rPr>
          <w:rFonts w:ascii="Calibri" w:hAnsi="Calibri"/>
          <w:b w:val="0"/>
          <w:i w:val="0"/>
          <w:color w:val="1E293B"/>
          <w:sz w:val="21"/>
        </w:rPr>
        <w:t xml:space="preserve">. </w:t>
      </w:r>
    </w:p>
    <w:p>
      <w:pPr>
        <w:spacing w:before="40" w:after="100"/>
      </w:pPr>
      <w:r>
        <w:rPr>
          <w:rFonts w:ascii="Calibri" w:hAnsi="Calibri"/>
          <w:b w:val="0"/>
          <w:i w:val="0"/>
          <w:color w:val="1E293B"/>
          <w:sz w:val="21"/>
        </w:rPr>
        <w:t xml:space="preserve">Central Bank of India has adopted the </w:t>
      </w:r>
      <w:r>
        <w:rPr>
          <w:rFonts w:ascii="Calibri" w:hAnsi="Calibri"/>
          <w:b/>
          <w:i w:val="0"/>
          <w:color w:val="1E293B"/>
          <w:sz w:val="21"/>
        </w:rPr>
        <w:t>Reserve Bank of India Policy Repo Rate</w:t>
      </w:r>
      <w:r>
        <w:rPr>
          <w:rFonts w:ascii="Calibri" w:hAnsi="Calibri"/>
          <w:b w:val="0"/>
          <w:i w:val="0"/>
          <w:color w:val="1E293B"/>
          <w:sz w:val="21"/>
        </w:rPr>
        <w:t xml:space="preserve"> as its external benchmark, operating under the </w:t>
      </w:r>
      <w:r>
        <w:rPr>
          <w:rFonts w:ascii="Calibri" w:hAnsi="Calibri"/>
          <w:b/>
          <w:i w:val="0"/>
          <w:color w:val="1E293B"/>
          <w:sz w:val="21"/>
        </w:rPr>
        <w:t>Repo-Based Lending Rate (RBLR)</w:t>
      </w:r>
      <w:r>
        <w:rPr>
          <w:rFonts w:ascii="Calibri" w:hAnsi="Calibri"/>
          <w:b w:val="0"/>
          <w:i w:val="0"/>
          <w:color w:val="1E293B"/>
          <w:sz w:val="21"/>
        </w:rPr>
        <w:t xml:space="preserve"> framework (Base Rate: </w:t>
      </w:r>
      <w:r>
        <w:rPr>
          <w:rFonts w:ascii="Calibri" w:hAnsi="Calibri"/>
          <w:b/>
          <w:i w:val="0"/>
          <w:color w:val="1E293B"/>
          <w:sz w:val="21"/>
        </w:rPr>
        <w:t>8.25%</w:t>
      </w:r>
      <w:r>
        <w:rPr>
          <w:rFonts w:ascii="Calibri" w:hAnsi="Calibri"/>
          <w:b w:val="0"/>
          <w:i w:val="0"/>
          <w:color w:val="1E293B"/>
          <w:sz w:val="21"/>
        </w:rPr>
        <w:t xml:space="preserve"> as of the 01.07.2026 Master Circular).</w:t>
      </w:r>
    </w:p>
    <w:tbl>
      <w:tblPr>
        <w:tblW w:type="auto" w:w="0"/>
        <w:jc w:val="center"/>
        <w:tblLook w:firstColumn="1" w:firstRow="1" w:lastColumn="0" w:lastRow="0" w:noHBand="0" w:noVBand="1" w:val="04A0"/>
      </w:tblPr>
      <w:tblGrid>
        <w:gridCol w:w="9461"/>
      </w:tblGrid>
      <w:tr>
        <w:tc>
          <w:tcPr>
            <w:tcW w:type="dxa" w:w="9360"/>
            <w:shd w:fill="F8FAFC"/>
            <w:tcMar>
              <w:top w:w="100" w:type="dxa"/>
              <w:bottom w:w="100" w:type="dxa"/>
              <w:left w:w="140" w:type="dxa"/>
              <w:right w:w="140" w:type="dxa"/>
            </w:tcMar>
            <w:tcBorders>
              <w:top w:val="none"/>
              <w:left w:val="single" w:sz="24" w:space="0" w:color="003366"/>
              <w:bottom w:val="none"/>
              <w:right w:val="none"/>
            </w:tcBorders>
          </w:tcPr>
          <w:p>
            <w:pPr>
              <w:spacing w:before="40" w:after="60"/>
            </w:pPr>
            <w:r>
              <w:rPr>
                <w:rFonts w:ascii="Calibri" w:hAnsi="Calibri"/>
                <w:b w:val="0"/>
                <w:i w:val="0"/>
                <w:color w:val="1E293B"/>
                <w:sz w:val="20"/>
              </w:rPr>
              <w:t xml:space="preserve">📐 </w:t>
            </w:r>
            <w:r>
              <w:rPr>
                <w:rFonts w:ascii="Calibri" w:hAnsi="Calibri"/>
                <w:b/>
                <w:i w:val="0"/>
                <w:color w:val="1E293B"/>
                <w:sz w:val="20"/>
              </w:rPr>
              <w:t>RBLR Loan Pricing Formula:</w:t>
            </w:r>
          </w:p>
          <w:p>
            <w:pPr>
              <w:spacing w:before="40" w:after="40"/>
            </w:pPr>
            <w:r>
              <w:rPr>
                <w:rFonts w:ascii="Calibri" w:hAnsi="Calibri"/>
                <w:b/>
                <w:i w:val="0"/>
                <w:color w:val="1E293B"/>
                <w:sz w:val="20"/>
              </w:rPr>
              <w:t>Final Sanctioned Interest Rate = Base RBLR (8.25%) + Credit Risk Premium (CRP) + Business Strategy Premium (BSP) - Statutory Concessions</w:t>
            </w:r>
          </w:p>
          <w:p>
            <w:pPr>
              <w:spacing w:before="40" w:after="40"/>
            </w:pPr>
            <w:r>
              <w:rPr>
                <w:rFonts w:ascii="Calibri" w:hAnsi="Calibri"/>
                <w:b w:val="0"/>
                <w:i/>
                <w:color w:val="1E293B"/>
                <w:sz w:val="20"/>
              </w:rPr>
              <w:t>(Example: A 25 bps concession is automatically applied for loans backed by CGTMSE credit guarantee coverage).</w:t>
            </w:r>
          </w:p>
        </w:tc>
      </w:tr>
    </w:tbl>
    <w:p>
      <w:pPr>
        <w:spacing w:before="0" w:after="120"/>
      </w:pPr>
    </w:p>
    <w:tbl>
      <w:tblPr>
        <w:tblW w:type="auto" w:w="0"/>
        <w:jc w:val="center"/>
        <w:tblLook w:firstColumn="1" w:firstRow="1" w:lastColumn="0" w:lastRow="0" w:noHBand="0" w:noVBand="1" w:val="04A0"/>
      </w:tblPr>
      <w:tblGrid>
        <w:gridCol w:w="9461"/>
      </w:tblGrid>
      <w:tr>
        <w:tc>
          <w:tcPr>
            <w:tcW w:type="dxa" w:w="9360"/>
            <w:shd w:fill="CBD5E1"/>
          </w:tcPr>
          <w:p>
            <w:pPr>
              <w:spacing w:before="20" w:after="20"/>
            </w:pPr>
          </w:p>
        </w:tc>
      </w:tr>
    </w:tbl>
    <w:p>
      <w:pPr>
        <w:spacing w:before="260" w:after="80"/>
      </w:pPr>
      <w:r>
        <w:rPr>
          <w:rFonts w:ascii="Calibri" w:hAnsi="Calibri"/>
          <w:b/>
          <w:i w:val="0"/>
          <w:color w:val="003366"/>
          <w:sz w:val="27"/>
        </w:rPr>
        <w:t>2.3 Basel II and Basel III Accords: Internal Ratings-Based (IRB) Approaches</w:t>
      </w:r>
    </w:p>
    <w:p>
      <w:pPr>
        <w:spacing w:before="40" w:after="100"/>
      </w:pPr>
      <w:r>
        <w:rPr>
          <w:rFonts w:ascii="Calibri" w:hAnsi="Calibri"/>
          <w:b w:val="0"/>
          <w:i w:val="0"/>
          <w:color w:val="1E293B"/>
          <w:sz w:val="21"/>
        </w:rPr>
        <w:t>The Basel Committee on Banking Supervision (BCBS) frameworks—enforced in India through the RBI Master Circular on Basel III Capital Regulations—mandate that commercial banks maintain a minimum Total Capital to Risk-Weighted Assets Ratio (</w:t>
      </w:r>
      <w:r>
        <w:rPr>
          <w:rFonts w:ascii="Calibri" w:hAnsi="Calibri"/>
          <w:b/>
          <w:i w:val="0"/>
          <w:color w:val="1E293B"/>
          <w:sz w:val="21"/>
        </w:rPr>
        <w:t>CRAR ≥ 11.5%</w:t>
      </w:r>
      <w:r>
        <w:rPr>
          <w:rFonts w:ascii="Calibri" w:hAnsi="Calibri"/>
          <w:b w:val="0"/>
          <w:i w:val="0"/>
          <w:color w:val="1E293B"/>
          <w:sz w:val="21"/>
        </w:rPr>
        <w:t xml:space="preserve"> including the Capital Conservation Buffer of 2.5%).</w:t>
      </w:r>
    </w:p>
    <w:tbl>
      <w:tblPr>
        <w:tblW w:type="auto" w:w="0"/>
        <w:jc w:val="center"/>
        <w:tblLook w:firstColumn="1" w:firstRow="1" w:lastColumn="0" w:lastRow="0" w:noHBand="0" w:noVBand="1" w:val="04A0"/>
      </w:tblPr>
      <w:tblGrid>
        <w:gridCol w:w="9461"/>
      </w:tblGrid>
      <w:tr>
        <w:tc>
          <w:tcPr>
            <w:tcW w:type="dxa" w:w="9360"/>
            <w:shd w:fill="F1F5F9"/>
            <w:tcMar>
              <w:top w:w="80" w:type="dxa"/>
              <w:bottom w:w="80" w:type="dxa"/>
              <w:left w:w="120" w:type="dxa"/>
              <w:right w:w="120" w:type="dxa"/>
            </w:tcMar>
          </w:tcPr>
          <w:p>
            <w:pPr>
              <w:spacing w:before="40" w:after="40"/>
            </w:pPr>
            <w:r>
              <w:rPr>
                <w:rFonts w:ascii="Consolas" w:hAnsi="Consolas"/>
                <w:color w:val="1E293B"/>
                <w:sz w:val="17"/>
              </w:rPr>
              <w:t xml:space="preserve">                           BASEL III REGULATORY CAPITAL ARCHITECTURE</w:t>
              <w:br/>
              <w:t xml:space="preserve">                           </w:t>
              <w:br/>
              <w:t xml:space="preserve">                 ┌────────────────────────────────────────────────────────┐</w:t>
              <w:br/>
              <w:t xml:space="preserve">                 │       Total Capital Adequacy Ratio (CRAR &gt;= 11.5%)     │</w:t>
              <w:br/>
              <w:t xml:space="preserve">                 └───────────────────────────┬────────────────────────────┘</w:t>
              <w:br/>
              <w:t xml:space="preserve">                                             │</w:t>
              <w:br/>
              <w:t xml:space="preserve">                     ┌───────────────────────┴───────────────────────┐</w:t>
              <w:br/>
              <w:t xml:space="preserve">                     ▼                                               ▼</w:t>
              <w:br/>
              <w:t xml:space="preserve">         ┌───────────────────────┐                       ┌───────────────────────┐</w:t>
              <w:br/>
              <w:t xml:space="preserve">         │     TIER 1 CAPITAL    │                       │     TIER 2 CAPITAL    │</w:t>
              <w:br/>
              <w:t xml:space="preserve">         │ Common Equity (CET1)  │                       │ Subordinated Debt,    │</w:t>
              <w:br/>
              <w:t xml:space="preserve">         │ &amp; Retained Earnings   │                       │ General Provisions    │</w:t>
              <w:br/>
              <w:t xml:space="preserve">         └───────────────────────┘                       └───────────────────────┘</w:t>
            </w:r>
          </w:p>
        </w:tc>
      </w:tr>
    </w:tbl>
    <w:p>
      <w:pPr>
        <w:spacing w:before="0" w:after="120"/>
      </w:pPr>
    </w:p>
    <w:tbl>
      <w:tblPr>
        <w:tblW w:type="auto" w:w="0"/>
        <w:jc w:val="center"/>
        <w:tblLook w:firstColumn="1" w:firstRow="1" w:lastColumn="0" w:lastRow="0" w:noHBand="0" w:noVBand="1" w:val="04A0"/>
      </w:tblPr>
      <w:tblGrid>
        <w:gridCol w:w="9461"/>
      </w:tblGrid>
      <w:tr>
        <w:tc>
          <w:tcPr>
            <w:tcW w:type="dxa" w:w="9360"/>
            <w:shd w:fill="CBD5E1"/>
          </w:tcPr>
          <w:p>
            <w:pPr>
              <w:spacing w:before="20" w:after="20"/>
            </w:pPr>
          </w:p>
        </w:tc>
      </w:tr>
    </w:tbl>
    <w:p>
      <w:pPr>
        <w:spacing w:before="200" w:after="60"/>
      </w:pPr>
      <w:r>
        <w:rPr>
          <w:rFonts w:ascii="Calibri" w:hAnsi="Calibri"/>
          <w:b/>
          <w:i w:val="0"/>
          <w:color w:val="003366"/>
          <w:sz w:val="23"/>
        </w:rPr>
        <w:t>1. Internal Ratings-Based (IRB) Mathematical Formulations</w:t>
      </w:r>
    </w:p>
    <w:p>
      <w:pPr>
        <w:spacing w:before="40" w:after="100"/>
      </w:pPr>
      <w:r>
        <w:rPr>
          <w:rFonts w:ascii="Calibri" w:hAnsi="Calibri"/>
          <w:b w:val="0"/>
          <w:i w:val="0"/>
          <w:color w:val="1E293B"/>
          <w:sz w:val="21"/>
        </w:rPr>
        <w:t>Under the Foundation IRB (F-IRB) and Advanced IRB (A-IRB) approaches, credit risk capital requirements are calculated based on four fundamental risk parameters:</w:t>
      </w:r>
    </w:p>
    <w:p>
      <w:pPr>
        <w:spacing w:before="40" w:after="40"/>
        <w:ind w:left="288"/>
      </w:pPr>
      <w:r>
        <w:rPr>
          <w:rFonts w:ascii="Calibri" w:hAnsi="Calibri"/>
          <w:b/>
          <w:color w:val="003366"/>
        </w:rPr>
        <w:t xml:space="preserve">1. </w:t>
      </w:r>
      <w:r>
        <w:rPr>
          <w:rFonts w:ascii="Calibri" w:hAnsi="Calibri"/>
          <w:b/>
          <w:i w:val="0"/>
          <w:color w:val="1E293B"/>
          <w:sz w:val="21"/>
        </w:rPr>
        <w:t>Probability of Default (PD)</w:t>
      </w:r>
      <w:r>
        <w:rPr>
          <w:rFonts w:ascii="Calibri" w:hAnsi="Calibri"/>
          <w:b w:val="0"/>
          <w:i w:val="0"/>
          <w:color w:val="1E293B"/>
          <w:sz w:val="21"/>
        </w:rPr>
        <w:t xml:space="preserve">: The statistical likelihood that a borrower will default within a 1-year forward horizon. In ILAS, PD is estimated via our calibrated </w:t>
      </w:r>
      <w:r>
        <w:rPr>
          <w:rFonts w:ascii="Calibri" w:hAnsi="Calibri"/>
          <w:b/>
          <w:i w:val="0"/>
          <w:color w:val="1E293B"/>
          <w:sz w:val="21"/>
        </w:rPr>
        <w:t>XGBoost Default Classifier</w:t>
      </w:r>
      <w:r>
        <w:rPr>
          <w:rFonts w:ascii="Calibri" w:hAnsi="Calibri"/>
          <w:b w:val="0"/>
          <w:i w:val="0"/>
          <w:color w:val="1E293B"/>
          <w:sz w:val="21"/>
        </w:rPr>
        <w:t>.</w:t>
      </w:r>
    </w:p>
    <w:p>
      <w:pPr>
        <w:spacing w:before="40" w:after="40"/>
        <w:ind w:left="288"/>
      </w:pPr>
      <w:r>
        <w:rPr>
          <w:rFonts w:ascii="Calibri" w:hAnsi="Calibri"/>
          <w:b/>
          <w:color w:val="003366"/>
        </w:rPr>
        <w:t xml:space="preserve">2. </w:t>
      </w:r>
      <w:r>
        <w:rPr>
          <w:rFonts w:ascii="Calibri" w:hAnsi="Calibri"/>
          <w:b/>
          <w:i w:val="0"/>
          <w:color w:val="1E293B"/>
          <w:sz w:val="21"/>
        </w:rPr>
        <w:t>Loss Given Default (LGD)</w:t>
      </w:r>
      <w:r>
        <w:rPr>
          <w:rFonts w:ascii="Calibri" w:hAnsi="Calibri"/>
          <w:b w:val="0"/>
          <w:i w:val="0"/>
          <w:color w:val="1E293B"/>
          <w:sz w:val="21"/>
        </w:rPr>
        <w:t>: The economic percentage of exposure lost upon default, reflecting collateral recovery efficiency ($LGD pprox 35.0\%–45.0\%$ for fully secured housing and MSME advances).</w:t>
      </w:r>
    </w:p>
    <w:p>
      <w:pPr>
        <w:spacing w:before="40" w:after="40"/>
        <w:ind w:left="288"/>
      </w:pPr>
      <w:r>
        <w:rPr>
          <w:rFonts w:ascii="Calibri" w:hAnsi="Calibri"/>
          <w:b/>
          <w:color w:val="003366"/>
        </w:rPr>
        <w:t xml:space="preserve">3. </w:t>
      </w:r>
      <w:r>
        <w:rPr>
          <w:rFonts w:ascii="Calibri" w:hAnsi="Calibri"/>
          <w:b/>
          <w:i w:val="0"/>
          <w:color w:val="1E293B"/>
          <w:sz w:val="21"/>
        </w:rPr>
        <w:t>Exposure at Default (EAD)</w:t>
      </w:r>
      <w:r>
        <w:rPr>
          <w:rFonts w:ascii="Calibri" w:hAnsi="Calibri"/>
          <w:b w:val="0"/>
          <w:i w:val="0"/>
          <w:color w:val="1E293B"/>
          <w:sz w:val="21"/>
        </w:rPr>
        <w:t>: The gross rupee amount outstanding when the borrower defaults.</w:t>
      </w:r>
    </w:p>
    <w:p>
      <w:pPr>
        <w:spacing w:before="40" w:after="40"/>
        <w:ind w:left="288"/>
      </w:pPr>
      <w:r>
        <w:rPr>
          <w:rFonts w:ascii="Calibri" w:hAnsi="Calibri"/>
          <w:b/>
          <w:color w:val="003366"/>
        </w:rPr>
        <w:t xml:space="preserve">4. </w:t>
      </w:r>
      <w:r>
        <w:rPr>
          <w:rFonts w:ascii="Calibri" w:hAnsi="Calibri"/>
          <w:b/>
          <w:i w:val="0"/>
          <w:color w:val="1E293B"/>
          <w:sz w:val="21"/>
        </w:rPr>
        <w:t>Effective Maturity (M)</w:t>
      </w:r>
      <w:r>
        <w:rPr>
          <w:rFonts w:ascii="Calibri" w:hAnsi="Calibri"/>
          <w:b w:val="0"/>
          <w:i w:val="0"/>
          <w:color w:val="1E293B"/>
          <w:sz w:val="21"/>
        </w:rPr>
        <w:t>: The remaining contractual duration of the credit facility.</w:t>
      </w:r>
    </w:p>
    <w:tbl>
      <w:tblPr>
        <w:tblW w:type="auto" w:w="0"/>
        <w:jc w:val="center"/>
        <w:tblLook w:firstColumn="1" w:firstRow="1" w:lastColumn="0" w:lastRow="0" w:noHBand="0" w:noVBand="1" w:val="04A0"/>
      </w:tblPr>
      <w:tblGrid>
        <w:gridCol w:w="9461"/>
      </w:tblGrid>
      <w:tr>
        <w:tc>
          <w:tcPr>
            <w:tcW w:type="dxa" w:w="9360"/>
            <w:shd w:fill="CBD5E1"/>
          </w:tcPr>
          <w:p>
            <w:pPr>
              <w:spacing w:before="20" w:after="20"/>
            </w:pPr>
          </w:p>
        </w:tc>
      </w:tr>
    </w:tbl>
    <w:p>
      <w:pPr>
        <w:spacing w:before="200" w:after="60"/>
      </w:pPr>
      <w:r>
        <w:rPr>
          <w:rFonts w:ascii="Calibri" w:hAnsi="Calibri"/>
          <w:b/>
          <w:i w:val="0"/>
          <w:color w:val="003366"/>
          <w:sz w:val="23"/>
        </w:rPr>
        <w:t>2. Expected Loss (EL) vs. Unexpected Loss (UL) Capital Charges</w:t>
      </w:r>
    </w:p>
    <w:p>
      <w:pPr>
        <w:spacing w:before="40" w:after="100"/>
      </w:pPr>
      <w:r>
        <w:rPr>
          <w:rFonts w:ascii="Calibri" w:hAnsi="Calibri"/>
          <w:b w:val="0"/>
          <w:i w:val="0"/>
          <w:color w:val="1E293B"/>
          <w:sz w:val="21"/>
        </w:rPr>
        <w:t>Expected Loss represents the predictable baseline cost of credit underwriting, covered directly through standard asset provisioning and interest rate risk spreads:</w:t>
      </w:r>
    </w:p>
    <w:tbl>
      <w:tblPr>
        <w:tblW w:type="auto" w:w="0"/>
        <w:jc w:val="center"/>
        <w:tblLook w:firstColumn="1" w:firstRow="1" w:lastColumn="0" w:lastRow="0" w:noHBand="0" w:noVBand="1" w:val="04A0"/>
      </w:tblPr>
      <w:tblGrid>
        <w:gridCol w:w="9461"/>
      </w:tblGrid>
      <w:tr>
        <w:tc>
          <w:tcPr>
            <w:tcW w:type="dxa" w:w="9360"/>
            <w:shd w:fill="F8FAFC"/>
            <w:tcMar>
              <w:top w:w="100" w:type="dxa"/>
              <w:bottom w:w="100" w:type="dxa"/>
              <w:left w:w="140" w:type="dxa"/>
              <w:right w:w="140" w:type="dxa"/>
            </w:tcMar>
            <w:tcBorders>
              <w:top w:val="none"/>
              <w:left w:val="single" w:sz="24" w:space="0" w:color="003366"/>
              <w:bottom w:val="none"/>
              <w:right w:val="none"/>
            </w:tcBorders>
          </w:tcPr>
          <w:p>
            <w:pPr>
              <w:spacing w:before="40" w:after="60"/>
            </w:pPr>
            <w:r>
              <w:rPr>
                <w:rFonts w:ascii="Calibri" w:hAnsi="Calibri"/>
                <w:b w:val="0"/>
                <w:i w:val="0"/>
                <w:color w:val="1E293B"/>
                <w:sz w:val="20"/>
              </w:rPr>
              <w:t xml:space="preserve">📐 </w:t>
            </w:r>
            <w:r>
              <w:rPr>
                <w:rFonts w:ascii="Calibri" w:hAnsi="Calibri"/>
                <w:b/>
                <w:i w:val="0"/>
                <w:color w:val="1E293B"/>
                <w:sz w:val="20"/>
              </w:rPr>
              <w:t>Expected Loss (EL) Formulation:</w:t>
            </w:r>
          </w:p>
          <w:p>
            <w:pPr>
              <w:spacing w:before="40" w:after="40"/>
            </w:pPr>
            <w:r>
              <w:rPr>
                <w:rFonts w:ascii="Calibri" w:hAnsi="Calibri"/>
                <w:b/>
                <w:i w:val="0"/>
                <w:color w:val="1E293B"/>
                <w:sz w:val="20"/>
              </w:rPr>
              <w:t>Expected Loss (EL) = Probability of Default (PD) × Loss Given Default (LGD) × Exposure at Default (EAD)</w:t>
            </w:r>
          </w:p>
        </w:tc>
      </w:tr>
    </w:tbl>
    <w:p>
      <w:pPr>
        <w:spacing w:before="0" w:after="120"/>
      </w:pPr>
    </w:p>
    <w:p>
      <w:pPr>
        <w:spacing w:before="40" w:after="100"/>
      </w:pPr>
      <w:r>
        <w:rPr>
          <w:rFonts w:ascii="Calibri" w:hAnsi="Calibri"/>
          <w:b w:val="0"/>
          <w:i w:val="0"/>
          <w:color w:val="1E293B"/>
          <w:sz w:val="21"/>
        </w:rPr>
        <w:t>Unexpected Loss represents statistical volatility around Expected Loss, requiring equity capital buffers under the Basel Value-at-Risk ($VaR$) formulation:</w:t>
      </w:r>
    </w:p>
    <w:tbl>
      <w:tblPr>
        <w:tblW w:type="auto" w:w="0"/>
        <w:jc w:val="center"/>
        <w:tblLook w:firstColumn="1" w:firstRow="1" w:lastColumn="0" w:lastRow="0" w:noHBand="0" w:noVBand="1" w:val="04A0"/>
      </w:tblPr>
      <w:tblGrid>
        <w:gridCol w:w="9461"/>
      </w:tblGrid>
      <w:tr>
        <w:tc>
          <w:tcPr>
            <w:tcW w:type="dxa" w:w="9360"/>
            <w:shd w:fill="F8FAFC"/>
            <w:tcMar>
              <w:top w:w="100" w:type="dxa"/>
              <w:bottom w:w="100" w:type="dxa"/>
              <w:left w:w="140" w:type="dxa"/>
              <w:right w:w="140" w:type="dxa"/>
            </w:tcMar>
            <w:tcBorders>
              <w:top w:val="none"/>
              <w:left w:val="single" w:sz="24" w:space="0" w:color="003366"/>
              <w:bottom w:val="none"/>
              <w:right w:val="none"/>
            </w:tcBorders>
          </w:tcPr>
          <w:p>
            <w:pPr>
              <w:spacing w:before="40" w:after="60"/>
            </w:pPr>
            <w:r>
              <w:rPr>
                <w:rFonts w:ascii="Calibri" w:hAnsi="Calibri"/>
                <w:b w:val="0"/>
                <w:i w:val="0"/>
                <w:color w:val="1E293B"/>
                <w:sz w:val="20"/>
              </w:rPr>
              <w:t xml:space="preserve">📐 </w:t>
            </w:r>
            <w:r>
              <w:rPr>
                <w:rFonts w:ascii="Calibri" w:hAnsi="Calibri"/>
                <w:b/>
                <w:i w:val="0"/>
                <w:color w:val="1E293B"/>
                <w:sz w:val="20"/>
              </w:rPr>
              <w:t>Basel Capital Requirement (K) Formulation:</w:t>
            </w:r>
          </w:p>
          <w:p>
            <w:pPr>
              <w:spacing w:before="40" w:after="40"/>
            </w:pPr>
            <w:r>
              <w:rPr>
                <w:rFonts w:ascii="Calibri" w:hAnsi="Calibri"/>
                <w:b/>
                <w:i w:val="0"/>
                <w:color w:val="1E293B"/>
                <w:sz w:val="20"/>
              </w:rPr>
              <w:t>K = [ LGD × N( ( G(PD) + √(ρ) × G(0.999) ) / √(1 - ρ) ) - (PD × LGD) ] × Maturity_Adjustment(M)</w:t>
            </w:r>
          </w:p>
          <w:p>
            <w:pPr>
              <w:spacing w:before="40" w:after="40"/>
            </w:pPr>
            <w:r>
              <w:rPr>
                <w:rFonts w:ascii="Calibri" w:hAnsi="Calibri"/>
                <w:b w:val="0"/>
                <w:i/>
                <w:color w:val="1E293B"/>
                <w:sz w:val="20"/>
              </w:rPr>
              <w:t>Where:</w:t>
            </w:r>
          </w:p>
          <w:p>
            <w:pPr>
              <w:spacing w:before="40" w:after="40"/>
              <w:ind w:left="216"/>
            </w:pPr>
            <w:r>
              <w:rPr>
                <w:rFonts w:ascii="Calibri" w:hAnsi="Calibri"/>
                <w:b/>
                <w:color w:val="C69214"/>
              </w:rPr>
              <w:t xml:space="preserve">• </w:t>
            </w:r>
            <w:r>
              <w:rPr>
                <w:rFonts w:ascii="Calibri" w:hAnsi="Calibri"/>
                <w:b/>
                <w:i w:val="0"/>
                <w:color w:val="1E293B"/>
                <w:sz w:val="20"/>
              </w:rPr>
              <w:t>N(x)</w:t>
            </w:r>
            <w:r>
              <w:rPr>
                <w:rFonts w:ascii="Calibri" w:hAnsi="Calibri"/>
                <w:b w:val="0"/>
                <w:i w:val="0"/>
                <w:color w:val="1E293B"/>
                <w:sz w:val="20"/>
              </w:rPr>
              <w:t>: Standard normal cumulative distribution function.</w:t>
            </w:r>
          </w:p>
          <w:p>
            <w:pPr>
              <w:spacing w:before="40" w:after="40"/>
              <w:ind w:left="216"/>
            </w:pPr>
            <w:r>
              <w:rPr>
                <w:rFonts w:ascii="Calibri" w:hAnsi="Calibri"/>
                <w:b/>
                <w:color w:val="C69214"/>
              </w:rPr>
              <w:t xml:space="preserve">• </w:t>
            </w:r>
            <w:r>
              <w:rPr>
                <w:rFonts w:ascii="Calibri" w:hAnsi="Calibri"/>
                <w:b/>
                <w:i w:val="0"/>
                <w:color w:val="1E293B"/>
                <w:sz w:val="20"/>
              </w:rPr>
              <w:t>G(x)</w:t>
            </w:r>
            <w:r>
              <w:rPr>
                <w:rFonts w:ascii="Calibri" w:hAnsi="Calibri"/>
                <w:b w:val="0"/>
                <w:i w:val="0"/>
                <w:color w:val="1E293B"/>
                <w:sz w:val="20"/>
              </w:rPr>
              <w:t>: Inverse standard normal cumulative distribution function ($\Phi^{-1}$).</w:t>
            </w:r>
          </w:p>
          <w:p>
            <w:pPr>
              <w:spacing w:before="40" w:after="40"/>
              <w:ind w:left="216"/>
            </w:pPr>
            <w:r>
              <w:rPr>
                <w:rFonts w:ascii="Calibri" w:hAnsi="Calibri"/>
                <w:b/>
                <w:color w:val="C69214"/>
              </w:rPr>
              <w:t xml:space="preserve">• </w:t>
            </w:r>
            <w:r>
              <w:rPr>
                <w:rFonts w:ascii="Calibri" w:hAnsi="Calibri"/>
                <w:b/>
                <w:i w:val="0"/>
                <w:color w:val="1E293B"/>
                <w:sz w:val="20"/>
              </w:rPr>
              <w:t>ρ (Rho)</w:t>
            </w:r>
            <w:r>
              <w:rPr>
                <w:rFonts w:ascii="Calibri" w:hAnsi="Calibri"/>
                <w:b w:val="0"/>
                <w:i w:val="0"/>
                <w:color w:val="1E293B"/>
                <w:sz w:val="20"/>
              </w:rPr>
              <w:t>: Asset correlation coefficient governing systemic risk exposure.</w:t>
            </w:r>
          </w:p>
        </w:tc>
      </w:tr>
    </w:tbl>
    <w:p>
      <w:pPr>
        <w:spacing w:before="0" w:after="120"/>
      </w:pPr>
    </w:p>
    <w:tbl>
      <w:tblPr>
        <w:tblW w:type="auto" w:w="0"/>
        <w:jc w:val="center"/>
        <w:tblLook w:firstColumn="1" w:firstRow="1" w:lastColumn="0" w:lastRow="0" w:noHBand="0" w:noVBand="1" w:val="04A0"/>
      </w:tblPr>
      <w:tblGrid>
        <w:gridCol w:w="9461"/>
      </w:tblGrid>
      <w:tr>
        <w:tc>
          <w:tcPr>
            <w:tcW w:type="dxa" w:w="9360"/>
            <w:shd w:fill="CBD5E1"/>
          </w:tcPr>
          <w:p>
            <w:pPr>
              <w:spacing w:before="20" w:after="20"/>
            </w:pPr>
          </w:p>
        </w:tc>
      </w:tr>
    </w:tbl>
    <w:p>
      <w:pPr>
        <w:spacing w:before="200" w:after="60"/>
      </w:pPr>
      <w:r>
        <w:rPr>
          <w:rFonts w:ascii="Calibri" w:hAnsi="Calibri"/>
          <w:b/>
          <w:i w:val="0"/>
          <w:color w:val="003366"/>
          <w:sz w:val="23"/>
        </w:rPr>
        <w:t>Table 2.2: Basel III Capital Adequacy Risk Weights for Retail &amp; MSME Asset Classes</w:t>
      </w:r>
    </w:p>
    <w:tbl>
      <w:tblPr>
        <w:tblW w:type="auto" w:w="0"/>
        <w:jc w:val="center"/>
        <w:tblLook w:firstColumn="1" w:firstRow="1" w:lastColumn="0" w:lastRow="0" w:noHBand="0" w:noVBand="1" w:val="04A0"/>
      </w:tblPr>
      <w:tblGrid>
        <w:gridCol w:w="2365"/>
        <w:gridCol w:w="2365"/>
        <w:gridCol w:w="2365"/>
        <w:gridCol w:w="2365"/>
      </w:tblGrid>
      <w:tr>
        <w:tc>
          <w:tcPr>
            <w:tcW w:type="dxa" w:w="2365"/>
            <w:shd w:fill="003366"/>
            <w:tcMar>
              <w:top w:w="70" w:type="dxa"/>
              <w:bottom w:w="70" w:type="dxa"/>
              <w:left w:w="90" w:type="dxa"/>
              <w:right w:w="90" w:type="dxa"/>
            </w:tcMar>
          </w:tcPr>
          <w:p>
            <w:pPr>
              <w:spacing w:before="40" w:after="40"/>
            </w:pPr>
            <w:r>
              <w:rPr>
                <w:rFonts w:ascii="Calibri" w:hAnsi="Calibri"/>
                <w:b/>
                <w:color w:val="FFFFFF"/>
                <w:sz w:val="19"/>
              </w:rPr>
              <w:t>Asset Classification</w:t>
            </w:r>
          </w:p>
        </w:tc>
        <w:tc>
          <w:tcPr>
            <w:tcW w:type="dxa" w:w="2365"/>
            <w:shd w:fill="003366"/>
            <w:tcMar>
              <w:top w:w="70" w:type="dxa"/>
              <w:bottom w:w="70" w:type="dxa"/>
              <w:left w:w="90" w:type="dxa"/>
              <w:right w:w="90" w:type="dxa"/>
            </w:tcMar>
          </w:tcPr>
          <w:p>
            <w:pPr>
              <w:spacing w:before="40" w:after="40"/>
            </w:pPr>
            <w:r>
              <w:rPr>
                <w:rFonts w:ascii="Calibri" w:hAnsi="Calibri"/>
                <w:b/>
                <w:color w:val="FFFFFF"/>
                <w:sz w:val="19"/>
              </w:rPr>
              <w:t>Typical Basel Risk Weight</w:t>
            </w:r>
          </w:p>
        </w:tc>
        <w:tc>
          <w:tcPr>
            <w:tcW w:type="dxa" w:w="2365"/>
            <w:shd w:fill="003366"/>
            <w:tcMar>
              <w:top w:w="70" w:type="dxa"/>
              <w:bottom w:w="70" w:type="dxa"/>
              <w:left w:w="90" w:type="dxa"/>
              <w:right w:w="90" w:type="dxa"/>
            </w:tcMar>
          </w:tcPr>
          <w:p>
            <w:pPr>
              <w:spacing w:before="40" w:after="40"/>
            </w:pPr>
            <w:r>
              <w:rPr>
                <w:rFonts w:ascii="Calibri" w:hAnsi="Calibri"/>
                <w:b/>
                <w:color w:val="FFFFFF"/>
                <w:sz w:val="19"/>
              </w:rPr>
              <w:t>Regulatory Provisioning Mandate</w:t>
            </w:r>
          </w:p>
        </w:tc>
        <w:tc>
          <w:tcPr>
            <w:tcW w:type="dxa" w:w="2365"/>
            <w:shd w:fill="003366"/>
            <w:tcMar>
              <w:top w:w="70" w:type="dxa"/>
              <w:bottom w:w="70" w:type="dxa"/>
              <w:left w:w="90" w:type="dxa"/>
              <w:right w:w="90" w:type="dxa"/>
            </w:tcMar>
          </w:tcPr>
          <w:p>
            <w:pPr>
              <w:spacing w:before="40" w:after="40"/>
            </w:pPr>
            <w:r>
              <w:rPr>
                <w:rFonts w:ascii="Calibri" w:hAnsi="Calibri"/>
                <w:b/>
                <w:color w:val="FFFFFF"/>
                <w:sz w:val="19"/>
              </w:rPr>
              <w:t>Applicable ILAS Underwriting Track</w:t>
            </w:r>
          </w:p>
        </w:tc>
      </w:tr>
      <w:tr>
        <w:tc>
          <w:tcPr>
            <w:tcW w:type="dxa" w:w="2365"/>
            <w:shd w:fill="F8FAFC"/>
            <w:tcMar>
              <w:top w:w="50" w:type="dxa"/>
              <w:bottom w:w="50" w:type="dxa"/>
              <w:left w:w="70" w:type="dxa"/>
              <w:right w:w="70" w:type="dxa"/>
            </w:tcMar>
          </w:tcPr>
          <w:p>
            <w:pPr>
              <w:spacing w:before="20" w:after="20"/>
            </w:pPr>
            <w:r>
              <w:rPr>
                <w:rFonts w:ascii="Calibri" w:hAnsi="Calibri"/>
                <w:b/>
                <w:i w:val="0"/>
                <w:color w:val="1E293B"/>
                <w:sz w:val="18"/>
              </w:rPr>
              <w:t>Standard Housing Loan (LTV ≤ 80%)</w:t>
            </w:r>
          </w:p>
        </w:tc>
        <w:tc>
          <w:tcPr>
            <w:tcW w:type="dxa" w:w="2365"/>
            <w:shd w:fill="F8FAFC"/>
            <w:tcMar>
              <w:top w:w="50" w:type="dxa"/>
              <w:bottom w:w="50" w:type="dxa"/>
              <w:left w:w="70" w:type="dxa"/>
              <w:right w:w="70" w:type="dxa"/>
            </w:tcMar>
          </w:tcPr>
          <w:p>
            <w:pPr>
              <w:spacing w:before="20" w:after="20"/>
            </w:pPr>
            <w:r>
              <w:rPr>
                <w:rFonts w:ascii="Calibri" w:hAnsi="Calibri"/>
                <w:b/>
                <w:i w:val="0"/>
                <w:color w:val="1E293B"/>
                <w:sz w:val="18"/>
              </w:rPr>
              <w:t>35.0%</w:t>
            </w:r>
          </w:p>
        </w:tc>
        <w:tc>
          <w:tcPr>
            <w:tcW w:type="dxa" w:w="2365"/>
            <w:shd w:fill="F8FAFC"/>
            <w:tcMar>
              <w:top w:w="50" w:type="dxa"/>
              <w:bottom w:w="50" w:type="dxa"/>
              <w:left w:w="70" w:type="dxa"/>
              <w:right w:w="70" w:type="dxa"/>
            </w:tcMar>
          </w:tcPr>
          <w:p>
            <w:pPr>
              <w:spacing w:before="20" w:after="20"/>
            </w:pPr>
            <w:r>
              <w:rPr>
                <w:rFonts w:ascii="Calibri" w:hAnsi="Calibri"/>
                <w:b w:val="0"/>
                <w:i w:val="0"/>
                <w:color w:val="1E293B"/>
                <w:sz w:val="18"/>
              </w:rPr>
              <w:t>0.25% Standard Asset Provision</w:t>
            </w:r>
          </w:p>
        </w:tc>
        <w:tc>
          <w:tcPr>
            <w:tcW w:type="dxa" w:w="2365"/>
            <w:shd w:fill="F8FAFC"/>
            <w:tcMar>
              <w:top w:w="50" w:type="dxa"/>
              <w:bottom w:w="50" w:type="dxa"/>
              <w:left w:w="70" w:type="dxa"/>
              <w:right w:w="70" w:type="dxa"/>
            </w:tcMar>
          </w:tcPr>
          <w:p>
            <w:pPr>
              <w:spacing w:before="20" w:after="20"/>
            </w:pPr>
            <w:r>
              <w:rPr>
                <w:rFonts w:ascii="Calibri" w:hAnsi="Calibri"/>
                <w:b w:val="0"/>
                <w:i w:val="0"/>
                <w:color w:val="1E293B"/>
                <w:sz w:val="18"/>
              </w:rPr>
              <w:t>Retail Underwriting Pipeline</w:t>
            </w:r>
          </w:p>
        </w:tc>
      </w:tr>
      <w:tr>
        <w:tc>
          <w:tcPr>
            <w:tcW w:type="dxa" w:w="2365"/>
            <w:shd w:fill="FFFFFF"/>
            <w:tcMar>
              <w:top w:w="50" w:type="dxa"/>
              <w:bottom w:w="50" w:type="dxa"/>
              <w:left w:w="70" w:type="dxa"/>
              <w:right w:w="70" w:type="dxa"/>
            </w:tcMar>
          </w:tcPr>
          <w:p>
            <w:pPr>
              <w:spacing w:before="20" w:after="20"/>
            </w:pPr>
            <w:r>
              <w:rPr>
                <w:rFonts w:ascii="Calibri" w:hAnsi="Calibri"/>
                <w:b/>
                <w:i w:val="0"/>
                <w:color w:val="1E293B"/>
                <w:sz w:val="18"/>
              </w:rPr>
              <w:t>Retail Other (Personal / Unsecured Loans)</w:t>
            </w:r>
          </w:p>
        </w:tc>
        <w:tc>
          <w:tcPr>
            <w:tcW w:type="dxa" w:w="2365"/>
            <w:shd w:fill="FFFFFF"/>
            <w:tcMar>
              <w:top w:w="50" w:type="dxa"/>
              <w:bottom w:w="50" w:type="dxa"/>
              <w:left w:w="70" w:type="dxa"/>
              <w:right w:w="70" w:type="dxa"/>
            </w:tcMar>
          </w:tcPr>
          <w:p>
            <w:pPr>
              <w:spacing w:before="20" w:after="20"/>
            </w:pPr>
            <w:r>
              <w:rPr>
                <w:rFonts w:ascii="Calibri" w:hAnsi="Calibri"/>
                <w:b/>
                <w:i w:val="0"/>
                <w:color w:val="1E293B"/>
                <w:sz w:val="18"/>
              </w:rPr>
              <w:t>100.0% – 125.0%</w:t>
            </w:r>
          </w:p>
        </w:tc>
        <w:tc>
          <w:tcPr>
            <w:tcW w:type="dxa" w:w="2365"/>
            <w:shd w:fill="FFFFFF"/>
            <w:tcMar>
              <w:top w:w="50" w:type="dxa"/>
              <w:bottom w:w="50" w:type="dxa"/>
              <w:left w:w="70" w:type="dxa"/>
              <w:right w:w="70" w:type="dxa"/>
            </w:tcMar>
          </w:tcPr>
          <w:p>
            <w:pPr>
              <w:spacing w:before="20" w:after="20"/>
            </w:pPr>
            <w:r>
              <w:rPr>
                <w:rFonts w:ascii="Calibri" w:hAnsi="Calibri"/>
                <w:b w:val="0"/>
                <w:i w:val="0"/>
                <w:color w:val="1E293B"/>
                <w:sz w:val="18"/>
              </w:rPr>
              <w:t>0.40% Standard Asset Provision</w:t>
            </w:r>
          </w:p>
        </w:tc>
        <w:tc>
          <w:tcPr>
            <w:tcW w:type="dxa" w:w="2365"/>
            <w:shd w:fill="FFFFFF"/>
            <w:tcMar>
              <w:top w:w="50" w:type="dxa"/>
              <w:bottom w:w="50" w:type="dxa"/>
              <w:left w:w="70" w:type="dxa"/>
              <w:right w:w="70" w:type="dxa"/>
            </w:tcMar>
          </w:tcPr>
          <w:p>
            <w:pPr>
              <w:spacing w:before="20" w:after="20"/>
            </w:pPr>
            <w:r>
              <w:rPr>
                <w:rFonts w:ascii="Calibri" w:hAnsi="Calibri"/>
                <w:b w:val="0"/>
                <w:i w:val="0"/>
                <w:color w:val="1E293B"/>
                <w:sz w:val="18"/>
              </w:rPr>
              <w:t>Retail Underwriting Pipeline</w:t>
            </w:r>
          </w:p>
        </w:tc>
      </w:tr>
      <w:tr>
        <w:tc>
          <w:tcPr>
            <w:tcW w:type="dxa" w:w="2365"/>
            <w:shd w:fill="F8FAFC"/>
            <w:tcMar>
              <w:top w:w="50" w:type="dxa"/>
              <w:bottom w:w="50" w:type="dxa"/>
              <w:left w:w="70" w:type="dxa"/>
              <w:right w:w="70" w:type="dxa"/>
            </w:tcMar>
          </w:tcPr>
          <w:p>
            <w:pPr>
              <w:spacing w:before="20" w:after="20"/>
            </w:pPr>
            <w:r>
              <w:rPr>
                <w:rFonts w:ascii="Calibri" w:hAnsi="Calibri"/>
                <w:b/>
                <w:i w:val="0"/>
                <w:color w:val="1E293B"/>
                <w:sz w:val="18"/>
              </w:rPr>
              <w:t>MSME Priority Sector Advance</w:t>
            </w:r>
          </w:p>
        </w:tc>
        <w:tc>
          <w:tcPr>
            <w:tcW w:type="dxa" w:w="2365"/>
            <w:shd w:fill="F8FAFC"/>
            <w:tcMar>
              <w:top w:w="50" w:type="dxa"/>
              <w:bottom w:w="50" w:type="dxa"/>
              <w:left w:w="70" w:type="dxa"/>
              <w:right w:w="70" w:type="dxa"/>
            </w:tcMar>
          </w:tcPr>
          <w:p>
            <w:pPr>
              <w:spacing w:before="20" w:after="20"/>
            </w:pPr>
            <w:r>
              <w:rPr>
                <w:rFonts w:ascii="Calibri" w:hAnsi="Calibri"/>
                <w:b/>
                <w:i w:val="0"/>
                <w:color w:val="1E293B"/>
                <w:sz w:val="18"/>
              </w:rPr>
              <w:t>75.0%</w:t>
            </w:r>
          </w:p>
        </w:tc>
        <w:tc>
          <w:tcPr>
            <w:tcW w:type="dxa" w:w="2365"/>
            <w:shd w:fill="F8FAFC"/>
            <w:tcMar>
              <w:top w:w="50" w:type="dxa"/>
              <w:bottom w:w="50" w:type="dxa"/>
              <w:left w:w="70" w:type="dxa"/>
              <w:right w:w="70" w:type="dxa"/>
            </w:tcMar>
          </w:tcPr>
          <w:p>
            <w:pPr>
              <w:spacing w:before="20" w:after="20"/>
            </w:pPr>
            <w:r>
              <w:rPr>
                <w:rFonts w:ascii="Calibri" w:hAnsi="Calibri"/>
                <w:b w:val="0"/>
                <w:i w:val="0"/>
                <w:color w:val="1E293B"/>
                <w:sz w:val="18"/>
              </w:rPr>
              <w:t>0.25% Standard Asset Provision</w:t>
            </w:r>
          </w:p>
        </w:tc>
        <w:tc>
          <w:tcPr>
            <w:tcW w:type="dxa" w:w="2365"/>
            <w:shd w:fill="F8FAFC"/>
            <w:tcMar>
              <w:top w:w="50" w:type="dxa"/>
              <w:bottom w:w="50" w:type="dxa"/>
              <w:left w:w="70" w:type="dxa"/>
              <w:right w:w="70" w:type="dxa"/>
            </w:tcMar>
          </w:tcPr>
          <w:p>
            <w:pPr>
              <w:spacing w:before="20" w:after="20"/>
            </w:pPr>
            <w:r>
              <w:rPr>
                <w:rFonts w:ascii="Calibri" w:hAnsi="Calibri"/>
                <w:b w:val="0"/>
                <w:i w:val="0"/>
                <w:color w:val="1E293B"/>
                <w:sz w:val="18"/>
              </w:rPr>
              <w:t>Form MSE 1 / Form MSE II</w:t>
            </w:r>
          </w:p>
        </w:tc>
      </w:tr>
      <w:tr>
        <w:tc>
          <w:tcPr>
            <w:tcW w:type="dxa" w:w="2365"/>
            <w:shd w:fill="FFFFFF"/>
            <w:tcMar>
              <w:top w:w="50" w:type="dxa"/>
              <w:bottom w:w="50" w:type="dxa"/>
              <w:left w:w="70" w:type="dxa"/>
              <w:right w:w="70" w:type="dxa"/>
            </w:tcMar>
          </w:tcPr>
          <w:p>
            <w:pPr>
              <w:spacing w:before="20" w:after="20"/>
            </w:pPr>
            <w:r>
              <w:rPr>
                <w:rFonts w:ascii="Calibri" w:hAnsi="Calibri"/>
                <w:b/>
                <w:i w:val="0"/>
                <w:color w:val="1E293B"/>
                <w:sz w:val="18"/>
              </w:rPr>
              <w:t>Commercial Real Estate (CRE)</w:t>
            </w:r>
          </w:p>
        </w:tc>
        <w:tc>
          <w:tcPr>
            <w:tcW w:type="dxa" w:w="2365"/>
            <w:shd w:fill="FFFFFF"/>
            <w:tcMar>
              <w:top w:w="50" w:type="dxa"/>
              <w:bottom w:w="50" w:type="dxa"/>
              <w:left w:w="70" w:type="dxa"/>
              <w:right w:w="70" w:type="dxa"/>
            </w:tcMar>
          </w:tcPr>
          <w:p>
            <w:pPr>
              <w:spacing w:before="20" w:after="20"/>
            </w:pPr>
            <w:r>
              <w:rPr>
                <w:rFonts w:ascii="Calibri" w:hAnsi="Calibri"/>
                <w:b/>
                <w:i w:val="0"/>
                <w:color w:val="1E293B"/>
                <w:sz w:val="18"/>
              </w:rPr>
              <w:t>100.0%</w:t>
            </w:r>
          </w:p>
        </w:tc>
        <w:tc>
          <w:tcPr>
            <w:tcW w:type="dxa" w:w="2365"/>
            <w:shd w:fill="FFFFFF"/>
            <w:tcMar>
              <w:top w:w="50" w:type="dxa"/>
              <w:bottom w:w="50" w:type="dxa"/>
              <w:left w:w="70" w:type="dxa"/>
              <w:right w:w="70" w:type="dxa"/>
            </w:tcMar>
          </w:tcPr>
          <w:p>
            <w:pPr>
              <w:spacing w:before="20" w:after="20"/>
            </w:pPr>
            <w:r>
              <w:rPr>
                <w:rFonts w:ascii="Calibri" w:hAnsi="Calibri"/>
                <w:b w:val="0"/>
                <w:i w:val="0"/>
                <w:color w:val="1E293B"/>
                <w:sz w:val="18"/>
              </w:rPr>
              <w:t>1.00% Standard Asset Provision</w:t>
            </w:r>
          </w:p>
        </w:tc>
        <w:tc>
          <w:tcPr>
            <w:tcW w:type="dxa" w:w="2365"/>
            <w:shd w:fill="FFFFFF"/>
            <w:tcMar>
              <w:top w:w="50" w:type="dxa"/>
              <w:bottom w:w="50" w:type="dxa"/>
              <w:left w:w="70" w:type="dxa"/>
              <w:right w:w="70" w:type="dxa"/>
            </w:tcMar>
          </w:tcPr>
          <w:p>
            <w:pPr>
              <w:spacing w:before="20" w:after="20"/>
            </w:pPr>
            <w:r>
              <w:rPr>
                <w:rFonts w:ascii="Calibri" w:hAnsi="Calibri"/>
                <w:b w:val="0"/>
                <w:i w:val="0"/>
                <w:color w:val="1E293B"/>
                <w:sz w:val="18"/>
              </w:rPr>
              <w:t>Corporate Financial Hub</w:t>
            </w:r>
          </w:p>
        </w:tc>
      </w:tr>
      <w:tr>
        <w:tc>
          <w:tcPr>
            <w:tcW w:type="dxa" w:w="2365"/>
            <w:shd w:fill="F8FAFC"/>
            <w:tcMar>
              <w:top w:w="50" w:type="dxa"/>
              <w:bottom w:w="50" w:type="dxa"/>
              <w:left w:w="70" w:type="dxa"/>
              <w:right w:w="70" w:type="dxa"/>
            </w:tcMar>
          </w:tcPr>
          <w:p>
            <w:pPr>
              <w:spacing w:before="20" w:after="20"/>
            </w:pPr>
            <w:r>
              <w:rPr>
                <w:rFonts w:ascii="Calibri" w:hAnsi="Calibri"/>
                <w:b/>
                <w:i w:val="0"/>
                <w:color w:val="1E293B"/>
                <w:sz w:val="18"/>
              </w:rPr>
              <w:t>Non-Performing Asset (Sub-Standard / Doubtful)</w:t>
            </w:r>
          </w:p>
        </w:tc>
        <w:tc>
          <w:tcPr>
            <w:tcW w:type="dxa" w:w="2365"/>
            <w:shd w:fill="F8FAFC"/>
            <w:tcMar>
              <w:top w:w="50" w:type="dxa"/>
              <w:bottom w:w="50" w:type="dxa"/>
              <w:left w:w="70" w:type="dxa"/>
              <w:right w:w="70" w:type="dxa"/>
            </w:tcMar>
          </w:tcPr>
          <w:p>
            <w:pPr>
              <w:spacing w:before="20" w:after="20"/>
            </w:pPr>
            <w:r>
              <w:rPr>
                <w:rFonts w:ascii="Calibri" w:hAnsi="Calibri"/>
                <w:b/>
                <w:i w:val="0"/>
                <w:color w:val="1E293B"/>
                <w:sz w:val="18"/>
              </w:rPr>
              <w:t>150.0%</w:t>
            </w:r>
          </w:p>
        </w:tc>
        <w:tc>
          <w:tcPr>
            <w:tcW w:type="dxa" w:w="2365"/>
            <w:shd w:fill="F8FAFC"/>
            <w:tcMar>
              <w:top w:w="50" w:type="dxa"/>
              <w:bottom w:w="50" w:type="dxa"/>
              <w:left w:w="70" w:type="dxa"/>
              <w:right w:w="70" w:type="dxa"/>
            </w:tcMar>
          </w:tcPr>
          <w:p>
            <w:pPr>
              <w:spacing w:before="20" w:after="20"/>
            </w:pPr>
            <w:r>
              <w:rPr>
                <w:rFonts w:ascii="Calibri" w:hAnsi="Calibri"/>
                <w:b w:val="0"/>
                <w:i w:val="0"/>
                <w:color w:val="1E293B"/>
                <w:sz w:val="18"/>
              </w:rPr>
              <w:t>15.0% – 100.0% Provisioning Buffer</w:t>
            </w:r>
          </w:p>
        </w:tc>
        <w:tc>
          <w:tcPr>
            <w:tcW w:type="dxa" w:w="2365"/>
            <w:shd w:fill="F8FAFC"/>
            <w:tcMar>
              <w:top w:w="50" w:type="dxa"/>
              <w:bottom w:w="50" w:type="dxa"/>
              <w:left w:w="70" w:type="dxa"/>
              <w:right w:w="70" w:type="dxa"/>
            </w:tcMar>
          </w:tcPr>
          <w:p>
            <w:pPr>
              <w:spacing w:before="20" w:after="20"/>
            </w:pPr>
            <w:r>
              <w:rPr>
                <w:rFonts w:ascii="Calibri" w:hAnsi="Calibri"/>
                <w:b w:val="0"/>
                <w:i w:val="0"/>
                <w:color w:val="1E293B"/>
                <w:sz w:val="18"/>
              </w:rPr>
              <w:t>Automatic Rejection (Hurdle Rate)</w:t>
            </w:r>
          </w:p>
        </w:tc>
      </w:tr>
    </w:tbl>
    <w:p>
      <w:pPr>
        <w:spacing w:before="0" w:after="160"/>
      </w:pPr>
    </w:p>
    <w:tbl>
      <w:tblPr>
        <w:tblW w:type="auto" w:w="0"/>
        <w:jc w:val="center"/>
        <w:tblLook w:firstColumn="1" w:firstRow="1" w:lastColumn="0" w:lastRow="0" w:noHBand="0" w:noVBand="1" w:val="04A0"/>
      </w:tblPr>
      <w:tblGrid>
        <w:gridCol w:w="9461"/>
      </w:tblGrid>
      <w:tr>
        <w:tc>
          <w:tcPr>
            <w:tcW w:type="dxa" w:w="9360"/>
            <w:shd w:fill="CBD5E1"/>
          </w:tcPr>
          <w:p>
            <w:pPr>
              <w:spacing w:before="20" w:after="20"/>
            </w:pPr>
          </w:p>
        </w:tc>
      </w:tr>
    </w:tbl>
    <w:p>
      <w:pPr>
        <w:spacing w:before="260" w:after="80"/>
      </w:pPr>
      <w:r>
        <w:rPr>
          <w:rFonts w:ascii="Calibri" w:hAnsi="Calibri"/>
          <w:b/>
          <w:i w:val="0"/>
          <w:color w:val="003366"/>
          <w:sz w:val="27"/>
        </w:rPr>
        <w:t>2.4 Legal &amp; Privacy Norms: DPDP Act 2023 &amp; RBI IT Governance</w:t>
      </w:r>
    </w:p>
    <w:p>
      <w:pPr>
        <w:spacing w:before="40" w:after="100"/>
      </w:pPr>
      <w:r>
        <w:rPr>
          <w:rFonts w:ascii="Calibri" w:hAnsi="Calibri"/>
          <w:b w:val="0"/>
          <w:i w:val="0"/>
          <w:color w:val="1E293B"/>
          <w:sz w:val="21"/>
        </w:rPr>
        <w:t xml:space="preserve">In August 2023, the Government of India enacted the landmark </w:t>
      </w:r>
      <w:r>
        <w:rPr>
          <w:rFonts w:ascii="Calibri" w:hAnsi="Calibri"/>
          <w:b/>
          <w:i w:val="0"/>
          <w:color w:val="1E293B"/>
          <w:sz w:val="21"/>
        </w:rPr>
        <w:t>Digital Personal Data Protection (DPDP) Act 2023</w:t>
      </w:r>
      <w:r>
        <w:rPr>
          <w:rFonts w:ascii="Calibri" w:hAnsi="Calibri"/>
          <w:b w:val="0"/>
          <w:i w:val="0"/>
          <w:color w:val="1E293B"/>
          <w:sz w:val="21"/>
        </w:rPr>
        <w:t>, establishing strict statutory obligations for all financial institutions categorized as "Data Fiduciaries."</w:t>
      </w:r>
    </w:p>
    <w:tbl>
      <w:tblPr>
        <w:tblW w:type="auto" w:w="0"/>
        <w:jc w:val="center"/>
        <w:tblLook w:firstColumn="1" w:firstRow="1" w:lastColumn="0" w:lastRow="0" w:noHBand="0" w:noVBand="1" w:val="04A0"/>
      </w:tblPr>
      <w:tblGrid>
        <w:gridCol w:w="9461"/>
      </w:tblGrid>
      <w:tr>
        <w:tc>
          <w:tcPr>
            <w:tcW w:type="dxa" w:w="9360"/>
            <w:shd w:fill="F1F5F9"/>
            <w:tcMar>
              <w:top w:w="80" w:type="dxa"/>
              <w:bottom w:w="80" w:type="dxa"/>
              <w:left w:w="120" w:type="dxa"/>
              <w:right w:w="120" w:type="dxa"/>
            </w:tcMar>
          </w:tcPr>
          <w:p>
            <w:pPr>
              <w:spacing w:before="40" w:after="40"/>
            </w:pPr>
            <w:r>
              <w:rPr>
                <w:rFonts w:ascii="Consolas" w:hAnsi="Consolas"/>
                <w:color w:val="1E293B"/>
                <w:sz w:val="17"/>
              </w:rPr>
              <w:t xml:space="preserve">                         DPDP ACT 2023 COMPLIANCE ARCHITECTURE</w:t>
              <w:br/>
              <w:t xml:space="preserve">                         </w:t>
              <w:br/>
              <w:t xml:space="preserve">  ┌───────────────────────┐       ┌───────────────────────────────┐       ┌───────────────────────┐</w:t>
              <w:br/>
              <w:t xml:space="preserve">  │  Raw Applicant Data   │       │ Customer Agent (PII Masking)  │       │ Downstream AI Agents  │</w:t>
              <w:br/>
              <w:t xml:space="preserve">  │ • Real Name           │  ──►  │ • SHA-256 Token Masking       │  ──►  │ • Process Pseudonym   │</w:t>
              <w:br/>
              <w:t xml:space="preserve">  │ • Aadhaar / PAN       │       │ • Secure Session Partition    │       │ • Zero PII Leakage    │</w:t>
              <w:br/>
              <w:t xml:space="preserve">  │ • Phone / Email       │       │ • Salted Ephemeral Storage    │       │ • 100% Privacy Secure │</w:t>
              <w:br/>
              <w:t xml:space="preserve">  └───────────────────────┘       └───────────────────────────────┘       └───────────────────────┘</w:t>
            </w:r>
          </w:p>
        </w:tc>
      </w:tr>
    </w:tbl>
    <w:p>
      <w:pPr>
        <w:spacing w:before="0" w:after="120"/>
      </w:pPr>
    </w:p>
    <w:tbl>
      <w:tblPr>
        <w:tblW w:type="auto" w:w="0"/>
        <w:jc w:val="center"/>
        <w:tblLook w:firstColumn="1" w:firstRow="1" w:lastColumn="0" w:lastRow="0" w:noHBand="0" w:noVBand="1" w:val="04A0"/>
      </w:tblPr>
      <w:tblGrid>
        <w:gridCol w:w="9461"/>
      </w:tblGrid>
      <w:tr>
        <w:tc>
          <w:tcPr>
            <w:tcW w:type="dxa" w:w="9360"/>
            <w:shd w:fill="CBD5E1"/>
          </w:tcPr>
          <w:p>
            <w:pPr>
              <w:spacing w:before="20" w:after="20"/>
            </w:pPr>
          </w:p>
        </w:tc>
      </w:tr>
    </w:tbl>
    <w:p>
      <w:pPr>
        <w:spacing w:before="200" w:after="60"/>
      </w:pPr>
      <w:r>
        <w:rPr>
          <w:rFonts w:ascii="Calibri" w:hAnsi="Calibri"/>
          <w:b/>
          <w:i w:val="0"/>
          <w:color w:val="003366"/>
          <w:sz w:val="23"/>
        </w:rPr>
        <w:t>1. Key Provisions of the DPDP Act 2023 Enforced in ILAS:</w:t>
      </w:r>
    </w:p>
    <w:p>
      <w:pPr>
        <w:spacing w:before="40" w:after="40"/>
        <w:ind w:left="288"/>
      </w:pPr>
      <w:r>
        <w:rPr>
          <w:rFonts w:ascii="Calibri" w:hAnsi="Calibri"/>
          <w:b/>
          <w:color w:val="003366"/>
        </w:rPr>
        <w:t xml:space="preserve">• </w:t>
      </w:r>
      <w:r>
        <w:rPr>
          <w:rFonts w:ascii="Calibri" w:hAnsi="Calibri"/>
          <w:b/>
          <w:i w:val="0"/>
          <w:color w:val="1E293B"/>
          <w:sz w:val="21"/>
        </w:rPr>
        <w:t>Purpose Limitation (Section 6)</w:t>
      </w:r>
      <w:r>
        <w:rPr>
          <w:rFonts w:ascii="Calibri" w:hAnsi="Calibri"/>
          <w:b w:val="0"/>
          <w:i w:val="0"/>
          <w:color w:val="1E293B"/>
          <w:sz w:val="21"/>
        </w:rPr>
        <w:t>: Customer personal data ingested during loan applications must be processed strictly for underwriting, risk assessment, and regulatory compliance.</w:t>
      </w:r>
    </w:p>
    <w:p>
      <w:pPr>
        <w:spacing w:before="40" w:after="40"/>
        <w:ind w:left="288"/>
      </w:pPr>
      <w:r>
        <w:rPr>
          <w:rFonts w:ascii="Calibri" w:hAnsi="Calibri"/>
          <w:b/>
          <w:color w:val="003366"/>
        </w:rPr>
        <w:t xml:space="preserve">• </w:t>
      </w:r>
      <w:r>
        <w:rPr>
          <w:rFonts w:ascii="Calibri" w:hAnsi="Calibri"/>
          <w:b/>
          <w:i w:val="0"/>
          <w:color w:val="1E293B"/>
          <w:sz w:val="21"/>
        </w:rPr>
        <w:t>Data Minimization (Section 8)</w:t>
      </w:r>
      <w:r>
        <w:rPr>
          <w:rFonts w:ascii="Calibri" w:hAnsi="Calibri"/>
          <w:b w:val="0"/>
          <w:i w:val="0"/>
          <w:color w:val="1E293B"/>
          <w:sz w:val="21"/>
        </w:rPr>
        <w:t>: Personal data must not be exposed to downstream machine learning models or external LLM API endpoints unless cryptographically masked.</w:t>
      </w:r>
    </w:p>
    <w:p>
      <w:pPr>
        <w:spacing w:before="40" w:after="40"/>
        <w:ind w:left="288"/>
      </w:pPr>
      <w:r>
        <w:rPr>
          <w:rFonts w:ascii="Calibri" w:hAnsi="Calibri"/>
          <w:b/>
          <w:color w:val="003366"/>
        </w:rPr>
        <w:t xml:space="preserve">• </w:t>
      </w:r>
      <w:r>
        <w:rPr>
          <w:rFonts w:ascii="Calibri" w:hAnsi="Calibri"/>
          <w:b/>
          <w:i w:val="0"/>
          <w:color w:val="1E293B"/>
          <w:sz w:val="21"/>
        </w:rPr>
        <w:t>Severe Non-Compliance Penalties</w:t>
      </w:r>
      <w:r>
        <w:rPr>
          <w:rFonts w:ascii="Calibri" w:hAnsi="Calibri"/>
          <w:b w:val="0"/>
          <w:i w:val="0"/>
          <w:color w:val="1E293B"/>
          <w:sz w:val="21"/>
        </w:rPr>
        <w:t xml:space="preserve">: Section 33 establishes statutory penalties of up to </w:t>
      </w:r>
      <w:r>
        <w:rPr>
          <w:rFonts w:ascii="Calibri" w:hAnsi="Calibri"/>
          <w:b/>
          <w:i w:val="0"/>
          <w:color w:val="1E293B"/>
          <w:sz w:val="21"/>
        </w:rPr>
        <w:t>₹250 Crores</w:t>
      </w:r>
      <w:r>
        <w:rPr>
          <w:rFonts w:ascii="Calibri" w:hAnsi="Calibri"/>
          <w:b w:val="0"/>
          <w:i w:val="0"/>
          <w:color w:val="1E293B"/>
          <w:sz w:val="21"/>
        </w:rPr>
        <w:t xml:space="preserve"> for failures to implement reasonable technical safeguards preventing personal data breaches.</w:t>
      </w:r>
    </w:p>
    <w:tbl>
      <w:tblPr>
        <w:tblW w:type="auto" w:w="0"/>
        <w:jc w:val="center"/>
        <w:tblLook w:firstColumn="1" w:firstRow="1" w:lastColumn="0" w:lastRow="0" w:noHBand="0" w:noVBand="1" w:val="04A0"/>
      </w:tblPr>
      <w:tblGrid>
        <w:gridCol w:w="9461"/>
      </w:tblGrid>
      <w:tr>
        <w:tc>
          <w:tcPr>
            <w:tcW w:type="dxa" w:w="9360"/>
            <w:shd w:fill="CBD5E1"/>
          </w:tcPr>
          <w:p>
            <w:pPr>
              <w:spacing w:before="20" w:after="20"/>
            </w:pPr>
          </w:p>
        </w:tc>
      </w:tr>
    </w:tbl>
    <w:p>
      <w:pPr>
        <w:spacing w:before="200" w:after="60"/>
      </w:pPr>
      <w:r>
        <w:rPr>
          <w:rFonts w:ascii="Calibri" w:hAnsi="Calibri"/>
          <w:b/>
          <w:i w:val="0"/>
          <w:color w:val="003366"/>
          <w:sz w:val="23"/>
        </w:rPr>
        <w:t>2. Cryptographic PII Token Masking Implementation:</w:t>
      </w:r>
    </w:p>
    <w:p>
      <w:pPr>
        <w:spacing w:before="40" w:after="100"/>
      </w:pPr>
      <w:r>
        <w:rPr>
          <w:rFonts w:ascii="Calibri" w:hAnsi="Calibri"/>
          <w:b w:val="0"/>
          <w:i w:val="0"/>
          <w:color w:val="1E293B"/>
          <w:sz w:val="21"/>
        </w:rPr>
        <w:t xml:space="preserve">To guarantee absolute compliance with the DPDP Act 2023, ILAS deploys the </w:t>
      </w:r>
      <w:r>
        <w:rPr>
          <w:rFonts w:ascii="Calibri" w:hAnsi="Calibri"/>
          <w:b/>
          <w:i w:val="0"/>
          <w:color w:val="1E293B"/>
          <w:sz w:val="21"/>
        </w:rPr>
        <w:t>Customer Agent</w:t>
      </w:r>
      <w:r>
        <w:rPr>
          <w:rFonts w:ascii="Calibri" w:hAnsi="Calibri"/>
          <w:b w:val="0"/>
          <w:i w:val="0"/>
          <w:color w:val="1E293B"/>
          <w:sz w:val="21"/>
        </w:rPr>
        <w:t xml:space="preserve"> at the very entrance of the LangGraph state machine:</w:t>
      </w:r>
    </w:p>
    <w:p>
      <w:pPr>
        <w:spacing w:before="40" w:after="40"/>
        <w:ind w:left="288"/>
      </w:pPr>
      <w:r>
        <w:rPr>
          <w:rFonts w:ascii="Calibri" w:hAnsi="Calibri"/>
          <w:b/>
          <w:color w:val="003366"/>
        </w:rPr>
        <w:t xml:space="preserve">• </w:t>
      </w:r>
      <w:r>
        <w:rPr>
          <w:rFonts w:ascii="Calibri" w:hAnsi="Calibri"/>
          <w:b w:val="0"/>
          <w:i w:val="0"/>
          <w:color w:val="1E293B"/>
          <w:sz w:val="21"/>
        </w:rPr>
        <w:t xml:space="preserve">Real borrower names, telephone numbers, and PAN identifiers are stripped and transformed into cryptographic SHA-256 session tokens (e.g., </w:t>
      </w:r>
      <w:r>
        <w:rPr>
          <w:rFonts w:ascii="Calibri" w:hAnsi="Calibri"/>
          <w:b w:val="0"/>
          <w:i/>
          <w:color w:val="1E293B"/>
          <w:sz w:val="21"/>
        </w:rPr>
        <w:t>Chalumuru Sai Kiran</w:t>
      </w:r>
      <w:r>
        <w:rPr>
          <w:rFonts w:ascii="Calibri" w:hAnsi="Calibri"/>
          <w:b w:val="0"/>
          <w:i w:val="0"/>
          <w:color w:val="1E293B"/>
          <w:sz w:val="21"/>
        </w:rPr>
        <w:t xml:space="preserve"> → </w:t>
      </w:r>
      <w:r>
        <w:rPr>
          <w:rFonts w:ascii="Consolas" w:hAnsi="Consolas"/>
          <w:b/>
          <w:color w:val="003366"/>
          <w:sz w:val="19"/>
        </w:rPr>
        <w:t>APPLICANT_4427</w:t>
      </w:r>
      <w:r>
        <w:rPr>
          <w:rFonts w:ascii="Calibri" w:hAnsi="Calibri"/>
          <w:b w:val="0"/>
          <w:i w:val="0"/>
          <w:color w:val="1E293B"/>
          <w:sz w:val="21"/>
        </w:rPr>
        <w:t>).</w:t>
      </w:r>
    </w:p>
    <w:p>
      <w:pPr>
        <w:spacing w:before="40" w:after="40"/>
        <w:ind w:left="288"/>
      </w:pPr>
      <w:r>
        <w:rPr>
          <w:rFonts w:ascii="Calibri" w:hAnsi="Calibri"/>
          <w:b/>
          <w:color w:val="003366"/>
        </w:rPr>
        <w:t xml:space="preserve">• </w:t>
      </w:r>
      <w:r>
        <w:rPr>
          <w:rFonts w:ascii="Calibri" w:hAnsi="Calibri"/>
          <w:b w:val="0"/>
          <w:i w:val="0"/>
          <w:color w:val="1E293B"/>
          <w:sz w:val="21"/>
        </w:rPr>
        <w:t>All 10 downstream underwriting agents—including the LLM-powered Report Writing Agent—process only the masked token identifiers, completely preventing PII leakage across internal and external network boundaries.</w:t>
      </w:r>
    </w:p>
    <w:p>
      <w:pPr>
        <w:spacing w:before="40" w:after="40"/>
        <w:ind w:left="288"/>
      </w:pPr>
      <w:r>
        <w:rPr>
          <w:rFonts w:ascii="Calibri" w:hAnsi="Calibri"/>
          <w:b/>
          <w:color w:val="003366"/>
        </w:rPr>
        <w:t xml:space="preserve">• </w:t>
      </w:r>
      <w:r>
        <w:rPr>
          <w:rFonts w:ascii="Calibri" w:hAnsi="Calibri"/>
          <w:b w:val="0"/>
          <w:i w:val="0"/>
          <w:color w:val="1E293B"/>
          <w:sz w:val="21"/>
        </w:rPr>
        <w:t>Unmasked names are restored only within the local secure session partition during final Word document stamping.</w:t>
      </w:r>
    </w:p>
    <w:tbl>
      <w:tblPr>
        <w:tblW w:type="auto" w:w="0"/>
        <w:jc w:val="center"/>
        <w:tblLook w:firstColumn="1" w:firstRow="1" w:lastColumn="0" w:lastRow="0" w:noHBand="0" w:noVBand="1" w:val="04A0"/>
      </w:tblPr>
      <w:tblGrid>
        <w:gridCol w:w="9461"/>
      </w:tblGrid>
      <w:tr>
        <w:tc>
          <w:tcPr>
            <w:tcW w:type="dxa" w:w="9360"/>
            <w:shd w:fill="CBD5E1"/>
          </w:tcPr>
          <w:p>
            <w:pPr>
              <w:spacing w:before="20" w:after="20"/>
            </w:pPr>
          </w:p>
        </w:tc>
      </w:tr>
    </w:tbl>
    <w:p>
      <w:pPr>
        <w:spacing w:before="200" w:after="60"/>
      </w:pPr>
      <w:r>
        <w:rPr>
          <w:rFonts w:ascii="Calibri" w:hAnsi="Calibri"/>
          <w:b/>
          <w:i w:val="0"/>
          <w:color w:val="003366"/>
          <w:sz w:val="23"/>
        </w:rPr>
        <w:t>3. RBI IT Governance &amp; Cyber Security Directives (2023):</w:t>
      </w:r>
    </w:p>
    <w:p>
      <w:pPr>
        <w:spacing w:before="40" w:after="100"/>
      </w:pPr>
      <w:r>
        <w:rPr>
          <w:rFonts w:ascii="Calibri" w:hAnsi="Calibri"/>
          <w:b w:val="0"/>
          <w:i w:val="0"/>
          <w:color w:val="1E293B"/>
          <w:sz w:val="21"/>
        </w:rPr>
        <w:t xml:space="preserve">The RBI </w:t>
      </w:r>
      <w:r>
        <w:rPr>
          <w:rFonts w:ascii="Calibri" w:hAnsi="Calibri"/>
          <w:b w:val="0"/>
          <w:i/>
          <w:color w:val="1E293B"/>
          <w:sz w:val="21"/>
        </w:rPr>
        <w:t>Master Direction on Information Technology Governance, Risk, Controls and Assurance Practices (2023)</w:t>
      </w:r>
      <w:r>
        <w:rPr>
          <w:rFonts w:ascii="Calibri" w:hAnsi="Calibri"/>
          <w:b w:val="0"/>
          <w:i w:val="0"/>
          <w:color w:val="1E293B"/>
          <w:sz w:val="21"/>
        </w:rPr>
        <w:t xml:space="preserve"> mandates that all automated underwriting algorithms must feature:</w:t>
      </w:r>
    </w:p>
    <w:p>
      <w:pPr>
        <w:spacing w:before="40" w:after="40"/>
        <w:ind w:left="288"/>
      </w:pPr>
      <w:r>
        <w:rPr>
          <w:rFonts w:ascii="Calibri" w:hAnsi="Calibri"/>
          <w:b/>
          <w:color w:val="003366"/>
        </w:rPr>
        <w:t xml:space="preserve">• </w:t>
      </w:r>
      <w:r>
        <w:rPr>
          <w:rFonts w:ascii="Calibri" w:hAnsi="Calibri"/>
          <w:b/>
          <w:i w:val="0"/>
          <w:color w:val="1E293B"/>
          <w:sz w:val="21"/>
        </w:rPr>
        <w:t>Comprehensive Auditability</w:t>
      </w:r>
      <w:r>
        <w:rPr>
          <w:rFonts w:ascii="Calibri" w:hAnsi="Calibri"/>
          <w:b w:val="0"/>
          <w:i w:val="0"/>
          <w:color w:val="1E293B"/>
          <w:sz w:val="21"/>
        </w:rPr>
        <w:t>: An immutable PostgreSQL log recording every algorithmic decision and credit manager override.</w:t>
      </w:r>
    </w:p>
    <w:p>
      <w:pPr>
        <w:spacing w:before="40" w:after="40"/>
        <w:ind w:left="288"/>
      </w:pPr>
      <w:r>
        <w:rPr>
          <w:rFonts w:ascii="Calibri" w:hAnsi="Calibri"/>
          <w:b/>
          <w:color w:val="003366"/>
        </w:rPr>
        <w:t xml:space="preserve">• </w:t>
      </w:r>
      <w:r>
        <w:rPr>
          <w:rFonts w:ascii="Calibri" w:hAnsi="Calibri"/>
          <w:b/>
          <w:i w:val="0"/>
          <w:color w:val="1E293B"/>
          <w:sz w:val="21"/>
        </w:rPr>
        <w:t>Model Risk Governance</w:t>
      </w:r>
      <w:r>
        <w:rPr>
          <w:rFonts w:ascii="Calibri" w:hAnsi="Calibri"/>
          <w:b w:val="0"/>
          <w:i w:val="0"/>
          <w:color w:val="1E293B"/>
          <w:sz w:val="21"/>
        </w:rPr>
        <w:t>: Continuous validation against statistical drift, demographic bias, and calculation inaccuracies.</w:t>
      </w:r>
    </w:p>
    <w:p>
      <w:pPr>
        <w:spacing w:before="40" w:after="40"/>
        <w:ind w:left="288"/>
      </w:pPr>
      <w:r>
        <w:rPr>
          <w:rFonts w:ascii="Calibri" w:hAnsi="Calibri"/>
          <w:b/>
          <w:color w:val="003366"/>
        </w:rPr>
        <w:t xml:space="preserve">• </w:t>
      </w:r>
      <w:r>
        <w:rPr>
          <w:rFonts w:ascii="Calibri" w:hAnsi="Calibri"/>
          <w:b/>
          <w:i w:val="0"/>
          <w:color w:val="1E293B"/>
          <w:sz w:val="21"/>
        </w:rPr>
        <w:t>Access Control</w:t>
      </w:r>
      <w:r>
        <w:rPr>
          <w:rFonts w:ascii="Calibri" w:hAnsi="Calibri"/>
          <w:b w:val="0"/>
          <w:i w:val="0"/>
          <w:color w:val="1E293B"/>
          <w:sz w:val="21"/>
        </w:rPr>
        <w:t>: Strict Role-Based Access Control (RBAC) preventing unauthorized loan disbursements.</w:t>
      </w:r>
    </w:p>
    <w:tbl>
      <w:tblPr>
        <w:tblW w:type="auto" w:w="0"/>
        <w:jc w:val="center"/>
        <w:tblLook w:firstColumn="1" w:firstRow="1" w:lastColumn="0" w:lastRow="0" w:noHBand="0" w:noVBand="1" w:val="04A0"/>
      </w:tblPr>
      <w:tblGrid>
        <w:gridCol w:w="9461"/>
      </w:tblGrid>
      <w:tr>
        <w:tc>
          <w:tcPr>
            <w:tcW w:type="dxa" w:w="9360"/>
            <w:shd w:fill="CBD5E1"/>
          </w:tcPr>
          <w:p>
            <w:pPr>
              <w:spacing w:before="20" w:after="20"/>
            </w:pPr>
          </w:p>
        </w:tc>
      </w:tr>
    </w:tbl>
    <w:p>
      <w:pPr>
        <w:spacing w:before="260" w:after="80"/>
      </w:pPr>
      <w:r>
        <w:rPr>
          <w:rFonts w:ascii="Calibri" w:hAnsi="Calibri"/>
          <w:b/>
          <w:i w:val="0"/>
          <w:color w:val="003366"/>
          <w:sz w:val="27"/>
        </w:rPr>
        <w:t>2.5 Survey of Agentic AI, Multi-Agent State Machines &amp; Hybrid RAG in Banking</w:t>
      </w:r>
    </w:p>
    <w:p>
      <w:pPr>
        <w:spacing w:before="40" w:after="100"/>
      </w:pPr>
      <w:r>
        <w:rPr>
          <w:rFonts w:ascii="Calibri" w:hAnsi="Calibri"/>
          <w:b w:val="0"/>
          <w:i w:val="0"/>
          <w:color w:val="1E293B"/>
          <w:sz w:val="21"/>
        </w:rPr>
        <w:t xml:space="preserve">Recent literature in Artificial Intelligence and Financial Technology has highlighted the transformative potential of combining </w:t>
      </w:r>
      <w:r>
        <w:rPr>
          <w:rFonts w:ascii="Calibri" w:hAnsi="Calibri"/>
          <w:b/>
          <w:i w:val="0"/>
          <w:color w:val="1E293B"/>
          <w:sz w:val="21"/>
        </w:rPr>
        <w:t>Large Language Models (LLMs)</w:t>
      </w:r>
      <w:r>
        <w:rPr>
          <w:rFonts w:ascii="Calibri" w:hAnsi="Calibri"/>
          <w:b w:val="0"/>
          <w:i w:val="0"/>
          <w:color w:val="1E293B"/>
          <w:sz w:val="21"/>
        </w:rPr>
        <w:t xml:space="preserve">, </w:t>
      </w:r>
      <w:r>
        <w:rPr>
          <w:rFonts w:ascii="Calibri" w:hAnsi="Calibri"/>
          <w:b/>
          <w:i w:val="0"/>
          <w:color w:val="1E293B"/>
          <w:sz w:val="21"/>
        </w:rPr>
        <w:t>Multi-Agent Systems (MAS)</w:t>
      </w:r>
      <w:r>
        <w:rPr>
          <w:rFonts w:ascii="Calibri" w:hAnsi="Calibri"/>
          <w:b w:val="0"/>
          <w:i w:val="0"/>
          <w:color w:val="1E293B"/>
          <w:sz w:val="21"/>
        </w:rPr>
        <w:t xml:space="preserve">, and </w:t>
      </w:r>
      <w:r>
        <w:rPr>
          <w:rFonts w:ascii="Calibri" w:hAnsi="Calibri"/>
          <w:b/>
          <w:i w:val="0"/>
          <w:color w:val="1E293B"/>
          <w:sz w:val="21"/>
        </w:rPr>
        <w:t>Retrieval-Augmented Generation (RAG)</w:t>
      </w:r>
      <w:r>
        <w:rPr>
          <w:rFonts w:ascii="Calibri" w:hAnsi="Calibri"/>
          <w:b w:val="0"/>
          <w:i w:val="0"/>
          <w:color w:val="1E293B"/>
          <w:sz w:val="21"/>
        </w:rPr>
        <w:t xml:space="preserve"> for financial analysis:</w:t>
      </w:r>
    </w:p>
    <w:tbl>
      <w:tblPr>
        <w:tblW w:type="auto" w:w="0"/>
        <w:jc w:val="center"/>
        <w:tblLook w:firstColumn="1" w:firstRow="1" w:lastColumn="0" w:lastRow="0" w:noHBand="0" w:noVBand="1" w:val="04A0"/>
      </w:tblPr>
      <w:tblGrid>
        <w:gridCol w:w="9461"/>
      </w:tblGrid>
      <w:tr>
        <w:tc>
          <w:tcPr>
            <w:tcW w:type="dxa" w:w="9360"/>
            <w:shd w:fill="F1F5F9"/>
            <w:tcMar>
              <w:top w:w="80" w:type="dxa"/>
              <w:bottom w:w="80" w:type="dxa"/>
              <w:left w:w="120" w:type="dxa"/>
              <w:right w:w="120" w:type="dxa"/>
            </w:tcMar>
          </w:tcPr>
          <w:p>
            <w:pPr>
              <w:spacing w:before="40" w:after="40"/>
            </w:pPr>
            <w:r>
              <w:rPr>
                <w:rFonts w:ascii="Consolas" w:hAnsi="Consolas"/>
                <w:color w:val="1E293B"/>
                <w:sz w:val="17"/>
              </w:rPr>
              <w:t xml:space="preserve">                      MONOLITHIC LLM VS. MULTI-AGENT STATEGRAPH ARCHITECTURE</w:t>
              <w:br/>
              <w:t xml:space="preserve">                      </w:t>
              <w:br/>
              <w:t xml:space="preserve">   A. MONOLITHIC LLM (UNCONSTRAINED)                 B. MULTI-AGENT STATEGRAPH (ILAS)</w:t>
              <w:br/>
              <w:t xml:space="preserve">   ┌───────────────────────────────┐                 ┌───────────────────────────────┐</w:t>
              <w:br/>
              <w:t xml:space="preserve">   │ Single Prompt Ingestion       │                 │ LangGraph Cyclical Workflow   │</w:t>
              <w:br/>
              <w:t xml:space="preserve">   │ • Prone to Hallucinations     │                 │ • 11 Specialized Agent Nodes  │</w:t>
              <w:br/>
              <w:t xml:space="preserve">   │ • Calculation Errors in EMI   │                 │ • 100% Deterministic Math     │</w:t>
              <w:br/>
              <w:t xml:space="preserve">   │ • High Token Cost ($0.10+/call│                 │ • GAHR-MSR Hybrid Search RAG  │</w:t>
              <w:br/>
              <w:t xml:space="preserve">   │ • No Audit State Persistence  │                 │ • PostgreSQL Checkpointing    │</w:t>
              <w:br/>
              <w:t xml:space="preserve">   └───────────────────────────────┘                 └───────────────────────────────┘</w:t>
            </w:r>
          </w:p>
        </w:tc>
      </w:tr>
    </w:tbl>
    <w:p>
      <w:pPr>
        <w:spacing w:before="0" w:after="120"/>
      </w:pPr>
    </w:p>
    <w:tbl>
      <w:tblPr>
        <w:tblW w:type="auto" w:w="0"/>
        <w:jc w:val="center"/>
        <w:tblLook w:firstColumn="1" w:firstRow="1" w:lastColumn="0" w:lastRow="0" w:noHBand="0" w:noVBand="1" w:val="04A0"/>
      </w:tblPr>
      <w:tblGrid>
        <w:gridCol w:w="9461"/>
      </w:tblGrid>
      <w:tr>
        <w:tc>
          <w:tcPr>
            <w:tcW w:type="dxa" w:w="9360"/>
            <w:shd w:fill="CBD5E1"/>
          </w:tcPr>
          <w:p>
            <w:pPr>
              <w:spacing w:before="20" w:after="20"/>
            </w:pPr>
          </w:p>
        </w:tc>
      </w:tr>
    </w:tbl>
    <w:p>
      <w:pPr>
        <w:spacing w:before="200" w:after="60"/>
      </w:pPr>
      <w:r>
        <w:rPr>
          <w:rFonts w:ascii="Calibri" w:hAnsi="Calibri"/>
          <w:b/>
          <w:i w:val="0"/>
          <w:color w:val="003366"/>
          <w:sz w:val="23"/>
        </w:rPr>
        <w:t>1. Limitations of Monolithic Large Language Models in Banking</w:t>
      </w:r>
    </w:p>
    <w:p>
      <w:pPr>
        <w:spacing w:before="40" w:after="100"/>
      </w:pPr>
      <w:r>
        <w:rPr>
          <w:rFonts w:ascii="Calibri" w:hAnsi="Calibri"/>
          <w:b w:val="0"/>
          <w:i w:val="0"/>
          <w:color w:val="1E293B"/>
          <w:sz w:val="21"/>
        </w:rPr>
        <w:t>Early attempts to apply monolithic LLMs (e.g., unconstrained GPT-4 or Gemini instances) to credit underwriting encountered fundamental institutional hurdles:</w:t>
      </w:r>
    </w:p>
    <w:p>
      <w:pPr>
        <w:spacing w:before="40" w:after="40"/>
        <w:ind w:left="288"/>
      </w:pPr>
      <w:r>
        <w:rPr>
          <w:rFonts w:ascii="Calibri" w:hAnsi="Calibri"/>
          <w:b/>
          <w:color w:val="003366"/>
        </w:rPr>
        <w:t xml:space="preserve">• </w:t>
      </w:r>
      <w:r>
        <w:rPr>
          <w:rFonts w:ascii="Calibri" w:hAnsi="Calibri"/>
          <w:b/>
          <w:i w:val="0"/>
          <w:color w:val="1E293B"/>
          <w:sz w:val="21"/>
        </w:rPr>
        <w:t>Mathematical Hallucinations</w:t>
      </w:r>
      <w:r>
        <w:rPr>
          <w:rFonts w:ascii="Calibri" w:hAnsi="Calibri"/>
          <w:b w:val="0"/>
          <w:i w:val="0"/>
          <w:color w:val="1E293B"/>
          <w:sz w:val="21"/>
        </w:rPr>
        <w:t>: Autoregressive transformer models generate text probabilistically and frequently miscalculate non-linear compounding formulas (e.g., EMI amortization schedules, Altman Z''-Scores).</w:t>
      </w:r>
    </w:p>
    <w:p>
      <w:pPr>
        <w:spacing w:before="40" w:after="40"/>
        <w:ind w:left="288"/>
      </w:pPr>
      <w:r>
        <w:rPr>
          <w:rFonts w:ascii="Calibri" w:hAnsi="Calibri"/>
          <w:b/>
          <w:color w:val="003366"/>
        </w:rPr>
        <w:t xml:space="preserve">• </w:t>
      </w:r>
      <w:r>
        <w:rPr>
          <w:rFonts w:ascii="Calibri" w:hAnsi="Calibri"/>
          <w:b/>
          <w:i w:val="0"/>
          <w:color w:val="1E293B"/>
          <w:sz w:val="21"/>
        </w:rPr>
        <w:t>Context Drift &amp; Token Inefficiency</w:t>
      </w:r>
      <w:r>
        <w:rPr>
          <w:rFonts w:ascii="Calibri" w:hAnsi="Calibri"/>
          <w:b w:val="0"/>
          <w:i w:val="0"/>
          <w:color w:val="1E293B"/>
          <w:sz w:val="21"/>
        </w:rPr>
        <w:t>: Ingesting 50-page financial statements into a single prompt consumes excessive tokens ($10,000+$ tokens per call), creating prohibitive operating costs.</w:t>
      </w:r>
    </w:p>
    <w:p>
      <w:pPr>
        <w:spacing w:before="40" w:after="40"/>
        <w:ind w:left="288"/>
      </w:pPr>
      <w:r>
        <w:rPr>
          <w:rFonts w:ascii="Calibri" w:hAnsi="Calibri"/>
          <w:b/>
          <w:color w:val="003366"/>
        </w:rPr>
        <w:t xml:space="preserve">• </w:t>
      </w:r>
      <w:r>
        <w:rPr>
          <w:rFonts w:ascii="Calibri" w:hAnsi="Calibri"/>
          <w:b/>
          <w:i w:val="0"/>
          <w:color w:val="1E293B"/>
          <w:sz w:val="21"/>
        </w:rPr>
        <w:t>Lack of Process State Control</w:t>
      </w:r>
      <w:r>
        <w:rPr>
          <w:rFonts w:ascii="Calibri" w:hAnsi="Calibri"/>
          <w:b w:val="0"/>
          <w:i w:val="0"/>
          <w:color w:val="1E293B"/>
          <w:sz w:val="21"/>
        </w:rPr>
        <w:t>: Monolithic prompts cannot enforce strict conditional execution sequences or pause mid-workflow for human manager intervention.</w:t>
      </w:r>
    </w:p>
    <w:tbl>
      <w:tblPr>
        <w:tblW w:type="auto" w:w="0"/>
        <w:jc w:val="center"/>
        <w:tblLook w:firstColumn="1" w:firstRow="1" w:lastColumn="0" w:lastRow="0" w:noHBand="0" w:noVBand="1" w:val="04A0"/>
      </w:tblPr>
      <w:tblGrid>
        <w:gridCol w:w="9461"/>
      </w:tblGrid>
      <w:tr>
        <w:tc>
          <w:tcPr>
            <w:tcW w:type="dxa" w:w="9360"/>
            <w:shd w:fill="CBD5E1"/>
          </w:tcPr>
          <w:p>
            <w:pPr>
              <w:spacing w:before="20" w:after="20"/>
            </w:pPr>
          </w:p>
        </w:tc>
      </w:tr>
    </w:tbl>
    <w:p>
      <w:pPr>
        <w:spacing w:before="200" w:after="60"/>
      </w:pPr>
      <w:r>
        <w:rPr>
          <w:rFonts w:ascii="Calibri" w:hAnsi="Calibri"/>
          <w:b/>
          <w:i w:val="0"/>
          <w:color w:val="003366"/>
          <w:sz w:val="23"/>
        </w:rPr>
        <w:t>2. Multi-Agent Systems (MAS) &amp; LangGraph</w:t>
      </w:r>
    </w:p>
    <w:p>
      <w:pPr>
        <w:spacing w:before="40" w:after="100"/>
      </w:pPr>
      <w:r>
        <w:rPr>
          <w:rFonts w:ascii="Calibri" w:hAnsi="Calibri"/>
          <w:b w:val="0"/>
          <w:i w:val="0"/>
          <w:color w:val="1E293B"/>
          <w:sz w:val="21"/>
        </w:rPr>
        <w:t xml:space="preserve">To overcome these limitations, recent research (Wu et al., 2023; Chase et al., 2024) established the efficacy of </w:t>
      </w:r>
      <w:r>
        <w:rPr>
          <w:rFonts w:ascii="Calibri" w:hAnsi="Calibri"/>
          <w:b/>
          <w:i w:val="0"/>
          <w:color w:val="1E293B"/>
          <w:sz w:val="21"/>
        </w:rPr>
        <w:t>Multi-Agent Orchestration via Cyclical State Graphs (LangGraph)</w:t>
      </w:r>
      <w:r>
        <w:rPr>
          <w:rFonts w:ascii="Calibri" w:hAnsi="Calibri"/>
          <w:b w:val="0"/>
          <w:i w:val="0"/>
          <w:color w:val="1E293B"/>
          <w:sz w:val="21"/>
        </w:rPr>
        <w:t>. Rather than relying on a single generalist model, the system divides the underwriting domain into specialized autonomous nodes:</w:t>
      </w:r>
    </w:p>
    <w:p>
      <w:pPr>
        <w:spacing w:before="40" w:after="40"/>
        <w:ind w:left="288"/>
      </w:pPr>
      <w:r>
        <w:rPr>
          <w:rFonts w:ascii="Calibri" w:hAnsi="Calibri"/>
          <w:b/>
          <w:color w:val="003366"/>
        </w:rPr>
        <w:t xml:space="preserve">• </w:t>
      </w:r>
      <w:r>
        <w:rPr>
          <w:rFonts w:ascii="Calibri" w:hAnsi="Calibri"/>
          <w:b w:val="0"/>
          <w:i w:val="0"/>
          <w:color w:val="1E293B"/>
          <w:sz w:val="21"/>
        </w:rPr>
        <w:t>Each node executes a single specialized task (e.g., OCR extraction, ratio mathematics, ML risk prediction, policy retrieval).</w:t>
      </w:r>
    </w:p>
    <w:p>
      <w:pPr>
        <w:spacing w:before="40" w:after="40"/>
        <w:ind w:left="288"/>
      </w:pPr>
      <w:r>
        <w:rPr>
          <w:rFonts w:ascii="Calibri" w:hAnsi="Calibri"/>
          <w:b/>
          <w:color w:val="003366"/>
        </w:rPr>
        <w:t xml:space="preserve">• </w:t>
      </w:r>
      <w:r>
        <w:rPr>
          <w:rFonts w:ascii="Calibri" w:hAnsi="Calibri"/>
          <w:b w:val="0"/>
          <w:i w:val="0"/>
          <w:color w:val="1E293B"/>
          <w:sz w:val="21"/>
        </w:rPr>
        <w:t>State transitions are managed via an immutable shared schema (</w:t>
      </w:r>
      <w:r>
        <w:rPr>
          <w:rFonts w:ascii="Consolas" w:hAnsi="Consolas"/>
          <w:b/>
          <w:color w:val="003366"/>
          <w:sz w:val="19"/>
        </w:rPr>
        <w:t>LoanApplicationState</w:t>
      </w:r>
      <w:r>
        <w:rPr>
          <w:rFonts w:ascii="Calibri" w:hAnsi="Calibri"/>
          <w:b w:val="0"/>
          <w:i w:val="0"/>
          <w:color w:val="1E293B"/>
          <w:sz w:val="21"/>
        </w:rPr>
        <w:t>).</w:t>
      </w:r>
    </w:p>
    <w:p>
      <w:pPr>
        <w:spacing w:before="40" w:after="40"/>
        <w:ind w:left="288"/>
      </w:pPr>
      <w:r>
        <w:rPr>
          <w:rFonts w:ascii="Calibri" w:hAnsi="Calibri"/>
          <w:b/>
          <w:color w:val="003366"/>
        </w:rPr>
        <w:t xml:space="preserve">• </w:t>
      </w:r>
      <w:r>
        <w:rPr>
          <w:rFonts w:ascii="Calibri" w:hAnsi="Calibri"/>
          <w:b w:val="0"/>
          <w:i w:val="0"/>
          <w:color w:val="1E293B"/>
          <w:sz w:val="21"/>
        </w:rPr>
        <w:t>The graph supports native checkpointing and asynchronous state interruptions (</w:t>
      </w:r>
      <w:r>
        <w:rPr>
          <w:rFonts w:ascii="Consolas" w:hAnsi="Consolas"/>
          <w:b/>
          <w:color w:val="003366"/>
          <w:sz w:val="19"/>
        </w:rPr>
        <w:t>interrupt()</w:t>
      </w:r>
      <w:r>
        <w:rPr>
          <w:rFonts w:ascii="Calibri" w:hAnsi="Calibri"/>
          <w:b w:val="0"/>
          <w:i w:val="0"/>
          <w:color w:val="1E293B"/>
          <w:sz w:val="21"/>
        </w:rPr>
        <w:t>), providing the mathematical foundation for Human-in-the-Loop governance.</w:t>
      </w:r>
    </w:p>
    <w:tbl>
      <w:tblPr>
        <w:tblW w:type="auto" w:w="0"/>
        <w:jc w:val="center"/>
        <w:tblLook w:firstColumn="1" w:firstRow="1" w:lastColumn="0" w:lastRow="0" w:noHBand="0" w:noVBand="1" w:val="04A0"/>
      </w:tblPr>
      <w:tblGrid>
        <w:gridCol w:w="9461"/>
      </w:tblGrid>
      <w:tr>
        <w:tc>
          <w:tcPr>
            <w:tcW w:type="dxa" w:w="9360"/>
            <w:shd w:fill="CBD5E1"/>
          </w:tcPr>
          <w:p>
            <w:pPr>
              <w:spacing w:before="20" w:after="20"/>
            </w:pPr>
          </w:p>
        </w:tc>
      </w:tr>
    </w:tbl>
    <w:p>
      <w:pPr>
        <w:spacing w:before="200" w:after="60"/>
      </w:pPr>
      <w:r>
        <w:rPr>
          <w:rFonts w:ascii="Calibri" w:hAnsi="Calibri"/>
          <w:b/>
          <w:i w:val="0"/>
          <w:color w:val="003366"/>
          <w:sz w:val="23"/>
        </w:rPr>
        <w:t>3. Evolution of Hybrid Search RAG Architectures</w:t>
      </w:r>
    </w:p>
    <w:p>
      <w:pPr>
        <w:spacing w:before="40" w:after="100"/>
      </w:pPr>
      <w:r>
        <w:rPr>
          <w:rFonts w:ascii="Calibri" w:hAnsi="Calibri"/>
          <w:b w:val="0"/>
          <w:i w:val="0"/>
          <w:color w:val="1E293B"/>
          <w:sz w:val="21"/>
        </w:rPr>
        <w:t xml:space="preserve">Standard "Naive RAG" systems rely exclusively on dense vector cosine similarity, which frequently fails in financial regulatory domains due to the vocabulary mismatch problem (e.g., searching for </w:t>
      </w:r>
      <w:r>
        <w:rPr>
          <w:rFonts w:ascii="Calibri" w:hAnsi="Calibri"/>
          <w:b w:val="0"/>
          <w:i/>
          <w:color w:val="1E293B"/>
          <w:sz w:val="21"/>
        </w:rPr>
        <w:t>"LTV limits"</w:t>
      </w:r>
      <w:r>
        <w:rPr>
          <w:rFonts w:ascii="Calibri" w:hAnsi="Calibri"/>
          <w:b w:val="0"/>
          <w:i w:val="0"/>
          <w:color w:val="1E293B"/>
          <w:sz w:val="21"/>
        </w:rPr>
        <w:t xml:space="preserve"> misses circular clauses discussing </w:t>
      </w:r>
      <w:r>
        <w:rPr>
          <w:rFonts w:ascii="Calibri" w:hAnsi="Calibri"/>
          <w:b w:val="0"/>
          <w:i/>
          <w:color w:val="1E293B"/>
          <w:sz w:val="21"/>
        </w:rPr>
        <w:t>"margin requirements for residential housing"</w:t>
      </w:r>
      <w:r>
        <w:rPr>
          <w:rFonts w:ascii="Calibri" w:hAnsi="Calibri"/>
          <w:b w:val="0"/>
          <w:i w:val="0"/>
          <w:color w:val="1E293B"/>
          <w:sz w:val="21"/>
        </w:rPr>
        <w:t>).</w:t>
      </w:r>
    </w:p>
    <w:p>
      <w:pPr>
        <w:spacing w:before="40" w:after="100"/>
      </w:pPr>
      <w:r>
        <w:rPr>
          <w:rFonts w:ascii="Calibri" w:hAnsi="Calibri"/>
          <w:b w:val="0"/>
          <w:i w:val="0"/>
          <w:color w:val="1E293B"/>
          <w:sz w:val="21"/>
        </w:rPr>
        <w:t xml:space="preserve">To resolve this, modern financial information retrieval utilizes </w:t>
      </w:r>
      <w:r>
        <w:rPr>
          <w:rFonts w:ascii="Calibri" w:hAnsi="Calibri"/>
          <w:b/>
          <w:i w:val="0"/>
          <w:color w:val="1E293B"/>
          <w:sz w:val="21"/>
        </w:rPr>
        <w:t>Graph-Agentic Hybrid RAG (GAHR-MSR)</w:t>
      </w:r>
      <w:r>
        <w:rPr>
          <w:rFonts w:ascii="Calibri" w:hAnsi="Calibri"/>
          <w:b w:val="0"/>
          <w:i w:val="0"/>
          <w:color w:val="1E293B"/>
          <w:sz w:val="21"/>
        </w:rPr>
        <w:t>:</w:t>
      </w:r>
    </w:p>
    <w:p>
      <w:pPr>
        <w:spacing w:before="40" w:after="40"/>
        <w:ind w:left="288"/>
      </w:pPr>
      <w:r>
        <w:rPr>
          <w:rFonts w:ascii="Calibri" w:hAnsi="Calibri"/>
          <w:b/>
          <w:color w:val="003366"/>
        </w:rPr>
        <w:t xml:space="preserve">• </w:t>
      </w:r>
      <w:r>
        <w:rPr>
          <w:rFonts w:ascii="Calibri" w:hAnsi="Calibri"/>
          <w:b/>
          <w:i w:val="0"/>
          <w:color w:val="1E293B"/>
          <w:sz w:val="21"/>
        </w:rPr>
        <w:t>Dense Vector Retrieval (3072-dimensional pgvector)</w:t>
      </w:r>
      <w:r>
        <w:rPr>
          <w:rFonts w:ascii="Calibri" w:hAnsi="Calibri"/>
          <w:b w:val="0"/>
          <w:i w:val="0"/>
          <w:color w:val="1E293B"/>
          <w:sz w:val="21"/>
        </w:rPr>
        <w:t xml:space="preserve"> captures high-level semantic intent.</w:t>
      </w:r>
    </w:p>
    <w:p>
      <w:pPr>
        <w:spacing w:before="40" w:after="40"/>
        <w:ind w:left="288"/>
      </w:pPr>
      <w:r>
        <w:rPr>
          <w:rFonts w:ascii="Calibri" w:hAnsi="Calibri"/>
          <w:b/>
          <w:color w:val="003366"/>
        </w:rPr>
        <w:t xml:space="preserve">• </w:t>
      </w:r>
      <w:r>
        <w:rPr>
          <w:rFonts w:ascii="Calibri" w:hAnsi="Calibri"/>
          <w:b/>
          <w:i w:val="0"/>
          <w:color w:val="1E293B"/>
          <w:sz w:val="21"/>
        </w:rPr>
        <w:t>Sparse BM25 Lexical Search (`tsvector`)</w:t>
      </w:r>
      <w:r>
        <w:rPr>
          <w:rFonts w:ascii="Calibri" w:hAnsi="Calibri"/>
          <w:b w:val="0"/>
          <w:i w:val="0"/>
          <w:color w:val="1E293B"/>
          <w:sz w:val="21"/>
        </w:rPr>
        <w:t xml:space="preserve"> captures exact statutory keywords and section numbers.</w:t>
      </w:r>
    </w:p>
    <w:p>
      <w:pPr>
        <w:spacing w:before="40" w:after="40"/>
        <w:ind w:left="288"/>
      </w:pPr>
      <w:r>
        <w:rPr>
          <w:rFonts w:ascii="Calibri" w:hAnsi="Calibri"/>
          <w:b/>
          <w:color w:val="003366"/>
        </w:rPr>
        <w:t xml:space="preserve">• </w:t>
      </w:r>
      <w:r>
        <w:rPr>
          <w:rFonts w:ascii="Calibri" w:hAnsi="Calibri"/>
          <w:b/>
          <w:i w:val="0"/>
          <w:color w:val="1E293B"/>
          <w:sz w:val="21"/>
        </w:rPr>
        <w:t>Reciprocal Rank Fusion (RRF)</w:t>
      </w:r>
      <w:r>
        <w:rPr>
          <w:rFonts w:ascii="Calibri" w:hAnsi="Calibri"/>
          <w:b w:val="0"/>
          <w:i w:val="0"/>
          <w:color w:val="1E293B"/>
          <w:sz w:val="21"/>
        </w:rPr>
        <w:t xml:space="preserve"> merges disparate ranking distributions mathematically.</w:t>
      </w:r>
    </w:p>
    <w:p>
      <w:pPr>
        <w:spacing w:before="40" w:after="40"/>
        <w:ind w:left="288"/>
      </w:pPr>
      <w:r>
        <w:rPr>
          <w:rFonts w:ascii="Calibri" w:hAnsi="Calibri"/>
          <w:b/>
          <w:color w:val="003366"/>
        </w:rPr>
        <w:t xml:space="preserve">• </w:t>
      </w:r>
      <w:r>
        <w:rPr>
          <w:rFonts w:ascii="Calibri" w:hAnsi="Calibri"/>
          <w:b/>
          <w:i w:val="0"/>
          <w:color w:val="1E293B"/>
          <w:sz w:val="21"/>
        </w:rPr>
        <w:t>Cross-Encoder Re-ranking (`ms-marco-MiniLM-L-6-v2`)</w:t>
      </w:r>
      <w:r>
        <w:rPr>
          <w:rFonts w:ascii="Calibri" w:hAnsi="Calibri"/>
          <w:b w:val="0"/>
          <w:i w:val="0"/>
          <w:color w:val="1E293B"/>
          <w:sz w:val="21"/>
        </w:rPr>
        <w:t xml:space="preserve"> performs joint query-document attention, achieving superior precision on complex RBI master circulars.</w:t>
      </w:r>
    </w:p>
    <w:tbl>
      <w:tblPr>
        <w:tblW w:type="auto" w:w="0"/>
        <w:jc w:val="center"/>
        <w:tblLook w:firstColumn="1" w:firstRow="1" w:lastColumn="0" w:lastRow="0" w:noHBand="0" w:noVBand="1" w:val="04A0"/>
      </w:tblPr>
      <w:tblGrid>
        <w:gridCol w:w="9461"/>
      </w:tblGrid>
      <w:tr>
        <w:tc>
          <w:tcPr>
            <w:tcW w:type="dxa" w:w="9360"/>
            <w:shd w:fill="CBD5E1"/>
          </w:tcPr>
          <w:p>
            <w:pPr>
              <w:spacing w:before="20" w:after="20"/>
            </w:pPr>
          </w:p>
        </w:tc>
      </w:tr>
    </w:tbl>
    <w:sectPr w:rsidR="00FC693F" w:rsidRPr="0006063C" w:rsidSect="00034616">
      <w:headerReference w:type="default" r:id="rId9"/>
      <w:footerReference w:type="default" r:id="rId10"/>
      <w:pgSz w:w="11909" w:h="16834"/>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96A0"/>
        <w:sz w:val="17"/>
      </w:rPr>
      <w:t>Institutional Confidential &amp; Proprietary — Central Bank of India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828C"/>
        <w:sz w:val="17"/>
      </w:rPr>
      <w:t>CENTRAL BANK OF INDIA | REGIONAL OFFICE, VISAKHAPATNAM</w:t>
      <w:br/>
      <w:t>ILAS Risk Management Internship Dossier — Chapter 2: Regulatory Framework &amp; Literature Survey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