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0F4C81"/>
          <w:sz w:val="36"/>
        </w:rPr>
        <w:t>🏛️ CENTRAL BANK OF INDIA</w:t>
      </w:r>
    </w:p>
    <w:p>
      <w:pPr>
        <w:pStyle w:val="Heading2"/>
      </w:pPr>
      <w:r>
        <w:rPr>
          <w:b/>
          <w:color w:val="1E5A96"/>
          <w:sz w:val="28"/>
        </w:rPr>
        <w:t>INTELLIGENT LOAN APPRAISAL SYSTEM (ILAS)</w:t>
      </w:r>
    </w:p>
    <w:p>
      <w:pPr>
        <w:pStyle w:val="Heading3"/>
      </w:pPr>
      <w:r>
        <w:rPr>
          <w:b/>
          <w:color w:val="323232"/>
          <w:sz w:val="24"/>
        </w:rPr>
        <w:t>An Institutional-Grade, Regulatory-Compliant Autonomous Multi-Agent AI Platform for Retail &amp; MSME Credit Underwriting</w:t>
      </w:r>
    </w:p>
    <w:p>
      <w:r>
        <w:rPr>
          <w:sz w:val="21"/>
        </w:rPr>
        <w:t>---</w:t>
      </w:r>
    </w:p>
    <w:p>
      <w:r>
        <w:rPr>
          <w:sz w:val="21"/>
        </w:rPr>
        <w:t>**A Comprehensive Project Report Submitted in Partial Fulfillment of the Requirements for the Award of the Degree of**</w:t>
      </w:r>
    </w:p>
    <w:p>
      <w:r>
        <w:rPr>
          <w:sz w:val="21"/>
        </w:rPr>
        <w:t>**BACHELOR OF TECHNOLOGY / MASTER OF TECHNOLOGY / MASTER OF BUSINESS ADMINISTRATION IN FINANCIAL TECHNOLOGY &amp; ARTIFICIAL INTELLIGENCE**</w:t>
      </w:r>
    </w:p>
    <w:p>
      <w:r>
        <w:rPr>
          <w:sz w:val="21"/>
        </w:rPr>
        <w:t>---</w:t>
      </w:r>
    </w:p>
    <w:p>
      <w:r>
        <w:rPr>
          <w:sz w:val="21"/>
        </w:rPr>
        <w:t>**Submitted By:**</w:t>
      </w:r>
    </w:p>
    <w:p>
      <w:r>
        <w:rPr>
          <w:sz w:val="21"/>
        </w:rPr>
        <w:t>*Candidate Name / Underwriting Team*</w:t>
      </w:r>
    </w:p>
    <w:p>
      <w:r>
        <w:rPr>
          <w:sz w:val="21"/>
        </w:rPr>
        <w:t>*Department of Computer Science &amp; Financial Engineering*</w:t>
      </w:r>
    </w:p>
    <w:p>
      <w:r>
        <w:rPr>
          <w:sz w:val="21"/>
        </w:rPr>
        <w:t>*Academic Year: 2025 – 2026*</w:t>
      </w:r>
    </w:p>
    <w:p>
      <w:r>
        <w:rPr>
          <w:sz w:val="21"/>
        </w:rPr>
        <w:t>**Under the Guidance &amp; Mentorship of:**</w:t>
      </w:r>
    </w:p>
    <w:p>
      <w:r>
        <w:rPr>
          <w:sz w:val="21"/>
        </w:rPr>
        <w:t>*Institutional Credit &amp; Risk Governance Division, Central Bank of India*</w:t>
      </w:r>
    </w:p>
    <w:p>
      <w:r>
        <w:rPr>
          <w:sz w:val="21"/>
        </w:rPr>
        <w:t>*Faculty Guide &amp; Technical Advisory Board*</w:t>
      </w:r>
    </w:p>
    <w:p>
      <w:r>
        <w:rPr>
          <w:sz w:val="21"/>
        </w:rPr>
        <w:t>---</w:t>
      </w:r>
    </w:p>
    <w:p>
      <w:pPr>
        <w:pStyle w:val="Heading2"/>
      </w:pPr>
      <w:r>
        <w:rPr>
          <w:b/>
          <w:color w:val="1E5A96"/>
          <w:sz w:val="28"/>
        </w:rPr>
        <w:t>📜 CERTIFICATE OF AUTHENTICITY</w:t>
      </w:r>
    </w:p>
    <w:p>
      <w:r>
        <w:rPr>
          <w:sz w:val="21"/>
        </w:rPr>
        <w:t>This is to certify that the project entitled **"Central Bank of India — Intelligent Loan Appraisal System (ILAS): An Institutional-Grade, Regulatory-Compliant Multi-Agent AI Underwriting Platform for Retail &amp; MSME Credit Appraisal"** is a bonafide record of independent and original technical work carried out under our supervision and guidance.</w:t>
      </w:r>
    </w:p>
    <w:p>
      <w:r>
        <w:rPr>
          <w:sz w:val="21"/>
        </w:rPr>
        <w:t>The software architecture, quantitative financial engines, forensic early-warning models, machine learning default risk pipelines, and multi-agent graph workflows described in this dossier represent original implementation conforming to the official guidelines of the **Reserve Bank of India (RBI)** and the **Central Bank of India (CBoI)**.</w:t>
      </w:r>
    </w:p>
    <w:p>
      <w:r>
        <w:rPr>
          <w:sz w:val="21"/>
        </w:rPr>
        <w:t>To the best of our knowledge, the matter embodied in this report has not been submitted elsewhere for the award of any other degree, diploma, or institutional accreditation.</w:t>
      </w:r>
    </w:p>
    <w:p>
      <w:r>
        <w:rPr>
          <w:sz w:val="21"/>
        </w:rPr>
        <w:t>&lt;br&gt;&lt;br&gt;</w:t>
      </w:r>
    </w:p>
    <w:p>
      <w:r>
        <w:rPr>
          <w:sz w:val="21"/>
        </w:rPr>
        <w:t>_____________________________ &amp;nbsp;&amp;nbsp;&amp;nbsp;&amp;nbsp;&amp;nbsp;&amp;nbsp;&amp;nbsp;&amp;nbsp;&amp;nbsp;&amp;nbsp;&amp;nbsp;&amp;nbsp;&amp;nbsp;&amp;nbsp;&amp;nbsp;&amp;nbsp;&amp;nbsp;&amp;nbsp;&amp;nbsp;&amp;nbsp;&amp;nbsp;&amp;nbsp;&amp;nbsp;&amp;nbsp;&amp;nbsp;&amp;nbsp;&amp;nbsp;&amp;nbsp; _____________________________</w:t>
      </w:r>
    </w:p>
    <w:p>
      <w:r>
        <w:rPr>
          <w:sz w:val="21"/>
        </w:rPr>
        <w:t>**Project Supervisor / Faculty Guide** &amp;nbsp;&amp;nbsp;&amp;nbsp;&amp;nbsp;&amp;nbsp;&amp;nbsp;&amp;nbsp;&amp;nbsp;&amp;nbsp;&amp;nbsp;&amp;nbsp;&amp;nbsp;&amp;nbsp;&amp;nbsp;&amp;nbsp;&amp;nbsp;&amp;nbsp;&amp;nbsp;&amp;nbsp;&amp;nbsp;&amp;nbsp;&amp;nbsp;&amp;nbsp;&amp;nbsp;&amp;nbsp;&amp;nbsp;&amp;nbsp;&amp;nbsp; **Head of Department / Academic Dean**</w:t>
      </w:r>
    </w:p>
    <w:p>
      <w:r>
        <w:rPr>
          <w:sz w:val="21"/>
        </w:rPr>
        <w:t>Department of Financial Engineering &amp; AI &amp;nbsp;&amp;nbsp;&amp;nbsp;&amp;nbsp;&amp;nbsp;&amp;nbsp;&amp;nbsp;&amp;nbsp;&amp;nbsp;&amp;nbsp;&amp;nbsp;&amp;nbsp;&amp;nbsp;&amp;nbsp;&amp;nbsp;&amp;nbsp;&amp;nbsp;&amp;nbsp;&amp;nbsp; Academic Review Committee</w:t>
      </w:r>
    </w:p>
    <w:p>
      <w:r>
        <w:rPr>
          <w:sz w:val="21"/>
        </w:rPr>
        <w:t>&lt;br&gt;</w:t>
      </w:r>
    </w:p>
    <w:p>
      <w:r>
        <w:rPr>
          <w:sz w:val="21"/>
        </w:rPr>
        <w:t>_____________________________</w:t>
      </w:r>
    </w:p>
    <w:p>
      <w:r>
        <w:rPr>
          <w:sz w:val="21"/>
        </w:rPr>
        <w:t>**Chief Risk Officer / External Examiner**</w:t>
      </w:r>
    </w:p>
    <w:p>
      <w:r>
        <w:rPr>
          <w:sz w:val="21"/>
        </w:rPr>
        <w:t>Credit Underwriting &amp; Risk Governance Division</w:t>
      </w:r>
    </w:p>
    <w:p>
      <w:r>
        <w:rPr>
          <w:sz w:val="21"/>
        </w:rPr>
        <w:t>Central Bank of India</w:t>
      </w:r>
    </w:p>
    <w:p>
      <w:pPr>
        <w:pStyle w:val="Heading2"/>
      </w:pPr>
      <w:r>
        <w:rPr>
          <w:b/>
          <w:color w:val="1E5A96"/>
          <w:sz w:val="28"/>
        </w:rPr>
        <w:t>📝 DECLARATION</w:t>
      </w:r>
    </w:p>
    <w:p>
      <w:r>
        <w:rPr>
          <w:sz w:val="21"/>
        </w:rPr>
        <w:t>I hereby declare that this project report titled **"Central Bank of India — Intelligent Loan Appraisal System (ILAS)"** submitted to the Department of Financial Engineering &amp; Computer Science is an authentic record of original work done by me.</w:t>
      </w:r>
    </w:p>
    <w:p>
      <w:r>
        <w:rPr>
          <w:sz w:val="21"/>
        </w:rPr>
        <w:t>I further declare that the algorithms, system designs, machine learning implementations, and regulatory scoring frameworks developed herein adhere to the highest standards of academic integrity, the **Digital Personal Data Protection (DPDP) Act 2023**, and the prudential norms established by the **Reserve Bank of India**.</w:t>
      </w:r>
    </w:p>
    <w:p>
      <w:r>
        <w:rPr>
          <w:sz w:val="21"/>
        </w:rPr>
        <w:t>**Place:** Mumbai, India</w:t>
      </w:r>
    </w:p>
    <w:p>
      <w:r>
        <w:rPr>
          <w:sz w:val="21"/>
        </w:rPr>
        <w:t>**Date:** 25th August 2026</w:t>
      </w:r>
    </w:p>
    <w:p>
      <w:r>
        <w:rPr>
          <w:sz w:val="21"/>
        </w:rPr>
        <w:t>&lt;br&gt;</w:t>
      </w:r>
    </w:p>
    <w:p>
      <w:r>
        <w:rPr>
          <w:sz w:val="21"/>
        </w:rPr>
        <w:t>_____________________________</w:t>
      </w:r>
    </w:p>
    <w:p>
      <w:r>
        <w:rPr>
          <w:sz w:val="21"/>
        </w:rPr>
        <w:t>**Signature of Candidate**</w:t>
      </w:r>
    </w:p>
    <w:p>
      <w:pPr>
        <w:pStyle w:val="Heading2"/>
      </w:pPr>
      <w:r>
        <w:rPr>
          <w:b/>
          <w:color w:val="1E5A96"/>
          <w:sz w:val="28"/>
        </w:rPr>
        <w:t>🙏 ACKNOWLEDGEMENTS</w:t>
      </w:r>
    </w:p>
    <w:p>
      <w:r>
        <w:rPr>
          <w:sz w:val="21"/>
        </w:rPr>
        <w:t>The successful conceptualization, mathematical formulation, architectural design, and software implementation of the **Central Bank of India Intelligent Loan Appraisal System (ILAS)** would not have been possible without the invaluable guidance, institutional support, and intellectual mentorship of numerous individuals and organizations.</w:t>
      </w:r>
    </w:p>
    <w:p>
      <w:r>
        <w:rPr>
          <w:sz w:val="21"/>
        </w:rPr>
        <w:t>First and foremost, I extend my profound gratitude to the **Credit Monitoring &amp; Risk Management Department of the Central Bank of India** for providing access to regulatory master circulars, official **Form MSE 1 and Form MSE II** underwriting rubrics, and the **01.07.2026 Repo-Based Lending Rate (RBLR)** framework. Their domain expertise in commercial banking, corporate forensic accounting, and prudential debt servicing limits served as the foundational bedrock of this research.</w:t>
      </w:r>
    </w:p>
    <w:p>
      <w:r>
        <w:rPr>
          <w:sz w:val="21"/>
        </w:rPr>
        <w:t>I express my sincere thanks to my **Project Guide and Academic Mentors** for their unwavering encouragement, critical reviews, and technical direction throughout the lifecycle of this project—particularly in designing the stateful cyclical multi-agent graph architecture and calibrating the explainable machine learning risk models.</w:t>
      </w:r>
    </w:p>
    <w:p>
      <w:r>
        <w:rPr>
          <w:sz w:val="21"/>
        </w:rPr>
        <w:t>Special thanks are due to the **Open-Source and AI Research Communities** whose breakthrough tools—specifically **LangGraph, FastAPI, PostgreSQL (pgvector), Streamlit, XGBoost, and SHAP**—provided the high-performance building blocks necessary to realize this institutional-grade vision.</w:t>
      </w:r>
    </w:p>
    <w:p>
      <w:r>
        <w:rPr>
          <w:sz w:val="21"/>
        </w:rPr>
        <w:t>Finally, I dedicate this work to my family, colleagues, and peers whose continuous patience, moral support, and motivation fueled this research endeavor.</w:t>
      </w:r>
    </w:p>
    <w:p>
      <w:pPr>
        <w:pStyle w:val="Heading2"/>
      </w:pPr>
      <w:r>
        <w:rPr>
          <w:b/>
          <w:color w:val="1E5A96"/>
          <w:sz w:val="28"/>
        </w:rPr>
        <w:t>📑 EXECUTIVE ABSTRACT</w:t>
      </w:r>
    </w:p>
    <w:p>
      <w:r>
        <w:rPr>
          <w:sz w:val="21"/>
        </w:rPr>
        <w:t>In commercial and public-sector banking, credit underwriting remains one of the most operationally critical yet labor-intensive functions. Traditional loan appraisal lifecycles suffer from severe systemic bottlenecks: manual ingestion of heterogeneous financial paperwork, multi-day delays in ratio spreading, vulnerability to human calculation errors, risk of inadvertent regulatory non-compliance against **Reserve Bank of India (RBI)** prudential ceilings, and opaque decision-making workflows that lack mathematical explainability. For commercial and Micro, Small, and Medium Enterprise (MSME) borrowers, assessing debt serviceability requires complex multi-dimensional evaluations across balance sheet liquidity, operational conduct, turnover routing, forensic earnings manipulation indices, and macroeconomic stress resilience—routinely resulting in turnaround times (TAT) of **7 to 14 business days**.</w:t>
      </w:r>
    </w:p>
    <w:p>
      <w:r>
        <w:rPr>
          <w:sz w:val="21"/>
        </w:rPr>
        <w:t>To solve these systemic challenges, this project presents the **Central Bank of India Intelligent Loan Appraisal System (ILAS)**—an institutional-grade, regulatory-compliant autonomous multi-agent AI credit appraisal platform. Built on **LangGraph**, **FastAPI**, **PostgreSQL with `pgvector`**, and **Streamlit**, ILAS digitizes and orchestrates the entire credit underwriting lifecycle, compressing appraisal turnaround time from **days to under 60 seconds** while enforcing zero-tolerance regulatory compliance and mathematical explainability.</w:t>
      </w:r>
    </w:p>
    <w:p>
      <w:r>
        <w:rPr>
          <w:sz w:val="21"/>
        </w:rPr>
        <w:t>The architectural foundation of ILAS comprises **11 specialized autonomous agents** executing within a stateful directed acyclic/cyclical graph:</w:t>
      </w:r>
    </w:p>
    <w:p>
      <w:pPr>
        <w:pStyle w:val="ListNumber"/>
      </w:pPr>
      <w:r>
        <w:rPr>
          <w:sz w:val="21"/>
        </w:rPr>
        <w:t>**Customer Agent**: Enforces the **Digital Personal Data Protection (DPDP) Act 2023** via deterministic cryptographic token masking (`APPLICANT_XXXX`).</w:t>
      </w:r>
    </w:p>
    <w:p>
      <w:pPr>
        <w:pStyle w:val="ListNumber"/>
      </w:pPr>
      <w:r>
        <w:rPr>
          <w:sz w:val="21"/>
        </w:rPr>
        <w:t>**Document Extraction Agent**: Implements multi-format ingestion across PDF (`.pdf`), Word (`.docx`), Excel (`.xlsx`), CSV, JSON, and computer-vision OCR (`EasyOCR`) with fuzzy banking ontology synonym matching (`METRIC_ALIASES`).</w:t>
      </w:r>
    </w:p>
    <w:p>
      <w:pPr>
        <w:pStyle w:val="ListNumber"/>
      </w:pPr>
      <w:r>
        <w:rPr>
          <w:sz w:val="21"/>
        </w:rPr>
        <w:t>**KYC &amp; Verification Agent**: Validates national identity registries, PAN checksum algorithms, and applicant vintage.</w:t>
      </w:r>
    </w:p>
    <w:p>
      <w:pPr>
        <w:pStyle w:val="ListNumber"/>
      </w:pPr>
      <w:r>
        <w:rPr>
          <w:sz w:val="21"/>
        </w:rPr>
        <w:t>**Bank Validation Agent**: Simulates institutional **Penny Drop Verification** for active account confirmation.</w:t>
      </w:r>
    </w:p>
    <w:p>
      <w:pPr>
        <w:pStyle w:val="ListNumber"/>
      </w:pPr>
      <w:r>
        <w:rPr>
          <w:sz w:val="21"/>
        </w:rPr>
        <w:t>**Financial Analysis Agent**: Executes quantitative retail calculations (compounding EMI, FOIR capped at $50\%$, RBI LTV slabs) and official MSME scoring (**Form MSE 1** for existing units with 13 parameters and **Form MSE II** for greenfield units with 9 parameters), assigning official **10-Tier Central Bank Risk Grades (`CBI 1` to `CBI 10`)** and dynamic **01.07.2026 RBLR-pegged interest rates** with CGTMSE guarantee concessions.</w:t>
      </w:r>
    </w:p>
    <w:p>
      <w:pPr>
        <w:pStyle w:val="ListNumber"/>
      </w:pPr>
      <w:r>
        <w:rPr>
          <w:sz w:val="21"/>
        </w:rPr>
        <w:t>**Predictive ML Risk Agent**: Evaluates an extreme gradient-boosted ensemble (**XGBoost Classifier**, ROC-AUC $0.942$) over a 23-parameter Basel-compliant schema, generating default probabilities (PD %) and local **SHAP (Shapley Additive exPlanations)** feature risk attributions.</w:t>
      </w:r>
    </w:p>
    <w:p>
      <w:pPr>
        <w:pStyle w:val="ListNumber"/>
      </w:pPr>
      <w:r>
        <w:rPr>
          <w:sz w:val="21"/>
        </w:rPr>
        <w:t>**Policy Retrieval Agent**: Executes **GAHR-MSR Hybrid Search** (dense 3072-dimensional `pgvector` semantic search + sparse BM25 `tsvector` keyword search merged via Reciprocal Rank Fusion and re-ranked with a Cross-Encoder) over actual RBI and CBoI circulars.</w:t>
      </w:r>
    </w:p>
    <w:p>
      <w:pPr>
        <w:pStyle w:val="ListNumber"/>
      </w:pPr>
      <w:r>
        <w:rPr>
          <w:sz w:val="21"/>
        </w:rPr>
        <w:t>**Corporate Financial Intelligence &amp; Forensic Valuation Agent**: Standardizes multi-year **Credit Monitoring Arrangement (CMA)** spreads, computes 5-pillar ratio diagnostics, sizes working capital via **Tandon Committee Methods I &amp; II and Nayak Turnover Models (MPBF)**, runs forensic distress modeling via **Emerging Market Altman Z''-Score** and **Beneish M-Score (5 manipulation indices)**, executes 3-year macroeconomic stress simulations, and conducts **Discounted Cash Flow (DCF)** Enterprise Valuations.</w:t>
      </w:r>
    </w:p>
    <w:p>
      <w:pPr>
        <w:pStyle w:val="ListNumber"/>
      </w:pPr>
      <w:r>
        <w:rPr>
          <w:sz w:val="21"/>
        </w:rPr>
        <w:t>**Compliance &amp; Sanctions Agent**: Screens against statutory Anti-Money Laundering (AML) mandates, circular transactions, and negative defaulter lists.</w:t>
      </w:r>
    </w:p>
    <w:p>
      <w:r>
        <w:rPr>
          <w:sz w:val="21"/>
        </w:rPr>
        <w:t>10. **Decision Synthesis Agent**: Synthesizes multi-dimensional telemetry, strictly enforces the **50-Mark Statutory Hurdle Rate** and **Defaulter Override Rule** (overdue $&gt;3$ months forces score to `0` / `CBI 10`), and formulates formal recommendations.</w:t>
      </w:r>
    </w:p>
    <w:p>
      <w:r>
        <w:rPr>
          <w:sz w:val="21"/>
        </w:rPr>
        <w:t>11. **Report Writing Agent**: Generates deterministic 7-chapter bilingual Credit Appraisal Memorandums (CAM) and exportable Word (`.docx`) dossiers with cited regulatory references.</w:t>
      </w:r>
    </w:p>
    <w:p>
      <w:r>
        <w:rPr>
          <w:sz w:val="21"/>
        </w:rPr>
        <w:t>Crucially, the platform enforces a **Strict Zero Auto-Sanction Policy**: every application automatically suspends at a Human-in-the-Loop (`WAITING_FOR_MANAGER`) stategraph checkpoint in PostgreSQL. Only authenticated Credit Managers (`CBOI_ADMIN`) possess the statutory authority to formally approve, reject, or exercise discretionary overrides accompanied by mandatory written justifications permanently sealed in the vigilance audit repository.</w:t>
      </w:r>
    </w:p>
    <w:p>
      <w:r>
        <w:rPr>
          <w:sz w:val="21"/>
        </w:rPr>
        <w:t>Experimental validation across 8 institutional benchmark credit scenarios (spanning retail prime, housing, auto, clean personal advances, MSME manufacturing, greenfield startups, and sub-hurdle defaulters) confirms **100% boundary invariant compliance**, flawless hurdle rate enforcement, sub-second deterministic financial spreading, and an economical LLM consumption profile of **~1,530 tokens ($pprox \$0.0001$ per file)**. The system provides an end-to-end blueprint for modernizing sovereign banking infrastructure in the era of artificial intelligence.</w:t>
      </w:r>
    </w:p>
    <w:p>
      <w:pPr>
        <w:pStyle w:val="Heading2"/>
      </w:pPr>
      <w:r>
        <w:rPr>
          <w:b/>
          <w:color w:val="1E5A96"/>
          <w:sz w:val="28"/>
        </w:rPr>
        <w:t>📑 TABLE OF CONTENTS</w:t>
      </w:r>
    </w:p>
    <w:p>
      <w:pPr>
        <w:pStyle w:val="ListBullet"/>
      </w:pPr>
      <w:r>
        <w:rPr>
          <w:sz w:val="21"/>
        </w:rPr>
        <w:t>**Front Matter**</w:t>
      </w:r>
    </w:p>
    <w:p>
      <w:pPr>
        <w:pStyle w:val="ListBullet"/>
      </w:pPr>
      <w:r>
        <w:rPr>
          <w:sz w:val="21"/>
        </w:rPr>
        <w:t>Certificate of Authenticity</w:t>
      </w:r>
    </w:p>
    <w:p>
      <w:pPr>
        <w:pStyle w:val="ListBullet"/>
      </w:pPr>
      <w:r>
        <w:rPr>
          <w:sz w:val="21"/>
        </w:rPr>
        <w:t>Declaration of Originality</w:t>
      </w:r>
    </w:p>
    <w:p>
      <w:pPr>
        <w:pStyle w:val="ListBullet"/>
      </w:pPr>
      <w:r>
        <w:rPr>
          <w:sz w:val="21"/>
        </w:rPr>
        <w:t>Acknowledgements</w:t>
      </w:r>
    </w:p>
    <w:p>
      <w:pPr>
        <w:pStyle w:val="ListBullet"/>
      </w:pPr>
      <w:r>
        <w:rPr>
          <w:sz w:val="21"/>
        </w:rPr>
        <w:t>Executive Abstract</w:t>
      </w:r>
    </w:p>
    <w:p>
      <w:pPr>
        <w:pStyle w:val="ListBullet"/>
      </w:pPr>
      <w:r>
        <w:rPr>
          <w:sz w:val="21"/>
        </w:rPr>
        <w:t>Table of Contents</w:t>
      </w:r>
    </w:p>
    <w:p>
      <w:pPr>
        <w:pStyle w:val="ListBullet"/>
      </w:pPr>
      <w:r>
        <w:rPr>
          <w:sz w:val="21"/>
        </w:rPr>
        <w:t>List of Figures</w:t>
      </w:r>
    </w:p>
    <w:p>
      <w:pPr>
        <w:pStyle w:val="ListBullet"/>
      </w:pPr>
      <w:r>
        <w:rPr>
          <w:sz w:val="21"/>
        </w:rPr>
        <w:t>List of Tables</w:t>
      </w:r>
    </w:p>
    <w:p>
      <w:pPr>
        <w:pStyle w:val="ListBullet"/>
      </w:pPr>
      <w:r>
        <w:rPr>
          <w:sz w:val="21"/>
        </w:rPr>
        <w:t>List of Abbreviations &amp; Banking Acronyms</w:t>
      </w:r>
    </w:p>
    <w:p>
      <w:pPr>
        <w:pStyle w:val="ListBullet"/>
      </w:pPr>
      <w:r>
        <w:rPr>
          <w:sz w:val="21"/>
        </w:rPr>
        <w:t>**Chapter 1: Introduction &amp; Institutional Context**</w:t>
      </w:r>
    </w:p>
    <w:p>
      <w:pPr>
        <w:pStyle w:val="ListBullet"/>
      </w:pPr>
      <w:r>
        <w:rPr>
          <w:sz w:val="21"/>
        </w:rPr>
        <w:t>1.1 Commercial Banking Landscape &amp; Underwriting Friction in India</w:t>
      </w:r>
    </w:p>
    <w:p>
      <w:pPr>
        <w:pStyle w:val="ListBullet"/>
      </w:pPr>
      <w:r>
        <w:rPr>
          <w:sz w:val="21"/>
        </w:rPr>
        <w:t>1.2 Central Bank of India: Institutional Heritage &amp; Digital Transformation</w:t>
      </w:r>
    </w:p>
    <w:p>
      <w:pPr>
        <w:pStyle w:val="ListBullet"/>
      </w:pPr>
      <w:r>
        <w:rPr>
          <w:sz w:val="21"/>
        </w:rPr>
        <w:t>1.3 Problem Statement &amp; Core Operational Bottlenecks</w:t>
      </w:r>
    </w:p>
    <w:p>
      <w:pPr>
        <w:pStyle w:val="ListBullet"/>
      </w:pPr>
      <w:r>
        <w:rPr>
          <w:sz w:val="21"/>
        </w:rPr>
        <w:t>1.4 Objectives, Scope &amp; Novelty of the ILAS Platform</w:t>
      </w:r>
    </w:p>
    <w:p>
      <w:pPr>
        <w:pStyle w:val="ListBullet"/>
      </w:pPr>
      <w:r>
        <w:rPr>
          <w:sz w:val="21"/>
        </w:rPr>
        <w:t>1.5 Organization of the Report</w:t>
      </w:r>
    </w:p>
    <w:p>
      <w:pPr>
        <w:pStyle w:val="ListBullet"/>
      </w:pPr>
      <w:r>
        <w:rPr>
          <w:sz w:val="21"/>
        </w:rPr>
        <w:t>**Chapter 2: Regulatory Framework &amp; Literature Review**</w:t>
      </w:r>
    </w:p>
    <w:p>
      <w:pPr>
        <w:pStyle w:val="ListBullet"/>
      </w:pPr>
      <w:r>
        <w:rPr>
          <w:sz w:val="21"/>
        </w:rPr>
        <w:t>2.1 Evolution of Credit Risk Assessment: From 5 Cs to Autonomous AI</w:t>
      </w:r>
    </w:p>
    <w:p>
      <w:pPr>
        <w:pStyle w:val="ListBullet"/>
      </w:pPr>
      <w:r>
        <w:rPr>
          <w:sz w:val="21"/>
        </w:rPr>
        <w:t>2.2 Reserve Bank of India (RBI) Prudential Underwriting Directives</w:t>
      </w:r>
    </w:p>
    <w:p>
      <w:pPr>
        <w:pStyle w:val="ListBullet"/>
      </w:pPr>
      <w:r>
        <w:rPr>
          <w:sz w:val="21"/>
        </w:rPr>
        <w:t>2.3 Basel II and Basel III Accords: Internal Ratings-Based (IRB) Approach</w:t>
      </w:r>
    </w:p>
    <w:p>
      <w:pPr>
        <w:pStyle w:val="ListBullet"/>
      </w:pPr>
      <w:r>
        <w:rPr>
          <w:sz w:val="21"/>
        </w:rPr>
        <w:t>2.4 Data Privacy &amp; Security Mandates: DPDP Act 2023 &amp; RBI IT Governance</w:t>
      </w:r>
    </w:p>
    <w:p>
      <w:pPr>
        <w:pStyle w:val="ListBullet"/>
      </w:pPr>
      <w:r>
        <w:rPr>
          <w:sz w:val="21"/>
        </w:rPr>
        <w:t>2.5 Survey of Multi-Agent Systems, LangGraph &amp; Hybrid RAG in Financial Services</w:t>
      </w:r>
    </w:p>
    <w:p>
      <w:pPr>
        <w:pStyle w:val="ListBullet"/>
      </w:pPr>
      <w:r>
        <w:rPr>
          <w:sz w:val="21"/>
        </w:rPr>
        <w:t>**Chapter 3: Requirements Analysis &amp; Specification (SRS)**</w:t>
      </w:r>
    </w:p>
    <w:p>
      <w:pPr>
        <w:pStyle w:val="ListBullet"/>
      </w:pPr>
      <w:r>
        <w:rPr>
          <w:sz w:val="21"/>
        </w:rPr>
        <w:t>3.1 Stakeholder Analysis &amp; User Personas</w:t>
      </w:r>
    </w:p>
    <w:p>
      <w:pPr>
        <w:pStyle w:val="ListBullet"/>
      </w:pPr>
      <w:r>
        <w:rPr>
          <w:sz w:val="21"/>
        </w:rPr>
        <w:t>3.2 Functional Requirements Specification (FR-1 to FR-12)</w:t>
      </w:r>
    </w:p>
    <w:p>
      <w:pPr>
        <w:pStyle w:val="ListBullet"/>
      </w:pPr>
      <w:r>
        <w:rPr>
          <w:sz w:val="21"/>
        </w:rPr>
        <w:t>3.3 Non-Functional Requirements Specification (NFR-1 to NFR-8)</w:t>
      </w:r>
    </w:p>
    <w:p>
      <w:pPr>
        <w:pStyle w:val="ListBullet"/>
      </w:pPr>
      <w:r>
        <w:rPr>
          <w:sz w:val="21"/>
        </w:rPr>
        <w:t>3.4 Hardware, Software &amp; Environmental Specifications</w:t>
      </w:r>
    </w:p>
    <w:p>
      <w:pPr>
        <w:pStyle w:val="ListBullet"/>
      </w:pPr>
      <w:r>
        <w:rPr>
          <w:sz w:val="21"/>
        </w:rPr>
        <w:t>3.5 Use-Case Modeling &amp; Data Flow Diagrams (DFD Levels 0, 1, 2)</w:t>
      </w:r>
    </w:p>
    <w:p>
      <w:pPr>
        <w:pStyle w:val="ListBullet"/>
      </w:pPr>
      <w:r>
        <w:rPr>
          <w:sz w:val="21"/>
        </w:rPr>
        <w:t>**Chapter 4: System Architecture &amp; Multi-Agent State Machine**</w:t>
      </w:r>
    </w:p>
    <w:p>
      <w:pPr>
        <w:pStyle w:val="ListBullet"/>
      </w:pPr>
      <w:r>
        <w:rPr>
          <w:sz w:val="21"/>
        </w:rPr>
        <w:t>4.1 Four-Tier System Architecture Topology</w:t>
      </w:r>
    </w:p>
    <w:p>
      <w:pPr>
        <w:pStyle w:val="ListBullet"/>
      </w:pPr>
      <w:r>
        <w:rPr>
          <w:sz w:val="21"/>
        </w:rPr>
        <w:t>4.2 Multi-Agent Orchestration via LangGraph StateGraph</w:t>
      </w:r>
    </w:p>
    <w:p>
      <w:pPr>
        <w:pStyle w:val="ListBullet"/>
      </w:pPr>
      <w:r>
        <w:rPr>
          <w:sz w:val="21"/>
        </w:rPr>
        <w:t>4.3 Detailed Specification of the 11 Autonomous Underwriting Nodes</w:t>
      </w:r>
    </w:p>
    <w:p>
      <w:pPr>
        <w:pStyle w:val="ListBullet"/>
      </w:pPr>
      <w:r>
        <w:rPr>
          <w:sz w:val="21"/>
        </w:rPr>
        <w:t>4.4 PostgreSQL Database Schema, Checkpointing &amp; `pgvector` Architecture</w:t>
      </w:r>
    </w:p>
    <w:p>
      <w:pPr>
        <w:pStyle w:val="ListBullet"/>
      </w:pPr>
      <w:r>
        <w:rPr>
          <w:sz w:val="21"/>
        </w:rPr>
        <w:t>4.5 GAHR-MSR Hybrid Search RAG Pipeline (Dense + Sparse + RRF + Cross-Encoder)</w:t>
      </w:r>
    </w:p>
    <w:p>
      <w:pPr>
        <w:pStyle w:val="ListBullet"/>
      </w:pPr>
      <w:r>
        <w:rPr>
          <w:sz w:val="21"/>
        </w:rPr>
        <w:t>**Chapter 5: Quantitative Financial Modeling &amp; Underwriting Formulations**</w:t>
      </w:r>
    </w:p>
    <w:p>
      <w:pPr>
        <w:pStyle w:val="ListBullet"/>
      </w:pPr>
      <w:r>
        <w:rPr>
          <w:sz w:val="21"/>
        </w:rPr>
        <w:t>5.1 Retail Underwriting Mathematical Models (Compounding EMI, FOIR, LTV)</w:t>
      </w:r>
    </w:p>
    <w:p>
      <w:pPr>
        <w:pStyle w:val="ListBullet"/>
      </w:pPr>
      <w:r>
        <w:rPr>
          <w:sz w:val="21"/>
        </w:rPr>
        <w:t>5.2 MSME Form MSE 1 Framework (Existing Operational Units - 13 Parameters)</w:t>
      </w:r>
    </w:p>
    <w:p>
      <w:pPr>
        <w:pStyle w:val="ListBullet"/>
      </w:pPr>
      <w:r>
        <w:rPr>
          <w:sz w:val="21"/>
        </w:rPr>
        <w:t>5.3 MSME Form MSE II Framework (Greenfield Units - 9 Parameters)</w:t>
      </w:r>
    </w:p>
    <w:p>
      <w:pPr>
        <w:pStyle w:val="ListBullet"/>
      </w:pPr>
      <w:r>
        <w:rPr>
          <w:sz w:val="21"/>
        </w:rPr>
        <w:t>5.4 Official 10-Tier Central Bank Risk Rating Matrix (`CBI 1` to `CBI 10`)</w:t>
      </w:r>
    </w:p>
    <w:p>
      <w:pPr>
        <w:pStyle w:val="ListBullet"/>
      </w:pPr>
      <w:r>
        <w:rPr>
          <w:sz w:val="21"/>
        </w:rPr>
        <w:t>5.5 Statutory 50-Mark Hurdle Rate Benchmark &amp; Defaulter Override Invariants</w:t>
      </w:r>
    </w:p>
    <w:p>
      <w:pPr>
        <w:pStyle w:val="ListBullet"/>
      </w:pPr>
      <w:r>
        <w:rPr>
          <w:sz w:val="21"/>
        </w:rPr>
        <w:t>5.6 Dynamic Repo-Based Lending Rate (RBLR) Pricing Engine (01.07.2026 Circular)</w:t>
      </w:r>
    </w:p>
    <w:p>
      <w:pPr>
        <w:pStyle w:val="ListBullet"/>
      </w:pPr>
      <w:r>
        <w:rPr>
          <w:sz w:val="21"/>
        </w:rPr>
        <w:t>**Chapter 6: Corporate Financial Intelligence, Forensic Audit &amp; DCF Valuation**</w:t>
      </w:r>
    </w:p>
    <w:p>
      <w:pPr>
        <w:pStyle w:val="ListBullet"/>
      </w:pPr>
      <w:r>
        <w:rPr>
          <w:sz w:val="21"/>
        </w:rPr>
        <w:t>6.1 Multi-Year Credit Monitoring Arrangement (CMA) Financial Spreading Engine</w:t>
      </w:r>
    </w:p>
    <w:p>
      <w:pPr>
        <w:pStyle w:val="ListBullet"/>
      </w:pPr>
      <w:r>
        <w:rPr>
          <w:sz w:val="21"/>
        </w:rPr>
        <w:t>6.2 5-Pillar Financial Ratio Diagnostics &amp; Operational Solvency Analysis</w:t>
      </w:r>
    </w:p>
    <w:p>
      <w:pPr>
        <w:pStyle w:val="ListBullet"/>
      </w:pPr>
      <w:r>
        <w:rPr>
          <w:sz w:val="21"/>
        </w:rPr>
        <w:t>6.3 Maximum Permissible Bank Finance (MPBF): Tandon Methods I &amp; II, Nayak Turnover Model</w:t>
      </w:r>
    </w:p>
    <w:p>
      <w:pPr>
        <w:pStyle w:val="ListBullet"/>
      </w:pPr>
      <w:r>
        <w:rPr>
          <w:sz w:val="21"/>
        </w:rPr>
        <w:t>6.4 Forensic Early-Warning Audit: Emerging Market Altman Z''-Score Model</w:t>
      </w:r>
    </w:p>
    <w:p>
      <w:pPr>
        <w:pStyle w:val="ListBullet"/>
      </w:pPr>
      <w:r>
        <w:rPr>
          <w:sz w:val="21"/>
        </w:rPr>
        <w:t>6.5 Beneish M-Score Framework (5 Forensic Earnings Manipulation Indices)</w:t>
      </w:r>
    </w:p>
    <w:p>
      <w:pPr>
        <w:pStyle w:val="ListBullet"/>
      </w:pPr>
      <w:r>
        <w:rPr>
          <w:sz w:val="21"/>
        </w:rPr>
        <w:t>6.6 3-Year Macroeconomic Stress Testing Simulator</w:t>
      </w:r>
    </w:p>
    <w:p>
      <w:pPr>
        <w:pStyle w:val="ListBullet"/>
      </w:pPr>
      <w:r>
        <w:rPr>
          <w:sz w:val="21"/>
        </w:rPr>
        <w:t>6.7 Discounted Cash Flow (DCF) Valuation &amp; Free Cash Flow to Firm (FCFF) Debt Sizing</w:t>
      </w:r>
    </w:p>
    <w:p>
      <w:pPr>
        <w:pStyle w:val="ListBullet"/>
      </w:pPr>
      <w:r>
        <w:rPr>
          <w:sz w:val="21"/>
        </w:rPr>
        <w:t>**Chapter 7: Machine Learning Default Prediction &amp; Explainability (XAI)**</w:t>
      </w:r>
    </w:p>
    <w:p>
      <w:pPr>
        <w:pStyle w:val="ListBullet"/>
      </w:pPr>
      <w:r>
        <w:rPr>
          <w:sz w:val="21"/>
        </w:rPr>
        <w:t>7.1 Synthetic Basel-Compliant Loan Portfolio Dataset Generation &amp; Schema</w:t>
      </w:r>
    </w:p>
    <w:p>
      <w:pPr>
        <w:pStyle w:val="ListBullet"/>
      </w:pPr>
      <w:r>
        <w:rPr>
          <w:sz w:val="21"/>
        </w:rPr>
        <w:t>7.2 23-Parameter Feature Engineering &amp; Preprocessing Pipeline</w:t>
      </w:r>
    </w:p>
    <w:p>
      <w:pPr>
        <w:pStyle w:val="ListBullet"/>
      </w:pPr>
      <w:r>
        <w:rPr>
          <w:sz w:val="21"/>
        </w:rPr>
        <w:t>7.3 Extreme Gradient Boosting (XGBoost) Architecture &amp; Training Methodology</w:t>
      </w:r>
    </w:p>
    <w:p>
      <w:pPr>
        <w:pStyle w:val="ListBullet"/>
      </w:pPr>
      <w:r>
        <w:rPr>
          <w:sz w:val="21"/>
        </w:rPr>
        <w:t>7.4 Model Performance Evaluation (ROC-AUC, Confusion Matrix, Precision-Recall)</w:t>
      </w:r>
    </w:p>
    <w:p>
      <w:pPr>
        <w:pStyle w:val="ListBullet"/>
      </w:pPr>
      <w:r>
        <w:rPr>
          <w:sz w:val="21"/>
        </w:rPr>
        <w:t>7.5 Shapley Additive exPlanations (SHAP) for Regulatory Explainability</w:t>
      </w:r>
    </w:p>
    <w:p>
      <w:pPr>
        <w:pStyle w:val="ListBullet"/>
      </w:pPr>
      <w:r>
        <w:rPr>
          <w:sz w:val="21"/>
        </w:rPr>
        <w:t>**Chapter 8: Universal Document Ingestion &amp; Computer Vision Engine**</w:t>
      </w:r>
    </w:p>
    <w:p>
      <w:pPr>
        <w:pStyle w:val="ListBullet"/>
      </w:pPr>
      <w:r>
        <w:rPr>
          <w:sz w:val="21"/>
        </w:rPr>
        <w:t>8.1 Multi-Format Document Ingestion Engine (PDF, DOCX, XLSX, CSV, JSON)</w:t>
      </w:r>
    </w:p>
    <w:p>
      <w:pPr>
        <w:pStyle w:val="ListBullet"/>
      </w:pPr>
      <w:r>
        <w:rPr>
          <w:sz w:val="21"/>
        </w:rPr>
        <w:t>8.2 Deep Learning Optical Character Recognition (EasyOCR) Architecture</w:t>
      </w:r>
    </w:p>
    <w:p>
      <w:pPr>
        <w:pStyle w:val="ListBullet"/>
      </w:pPr>
      <w:r>
        <w:rPr>
          <w:sz w:val="21"/>
        </w:rPr>
        <w:t>8.3 Fuzzy Banking Accounting Ontology &amp; Synonym Resolution (`METRIC_ALIASES`)</w:t>
      </w:r>
    </w:p>
    <w:p>
      <w:pPr>
        <w:pStyle w:val="ListBullet"/>
      </w:pPr>
      <w:r>
        <w:rPr>
          <w:sz w:val="21"/>
        </w:rPr>
        <w:t>8.4 Currency Magnitude &amp; Unit Normalization Pipeline</w:t>
      </w:r>
    </w:p>
    <w:p>
      <w:pPr>
        <w:pStyle w:val="ListBullet"/>
      </w:pPr>
      <w:r>
        <w:rPr>
          <w:sz w:val="21"/>
        </w:rPr>
        <w:t>**Chapter 9: Frontend Architecture &amp; Human-In-The-Loop Governance**</w:t>
      </w:r>
    </w:p>
    <w:p>
      <w:pPr>
        <w:pStyle w:val="ListBullet"/>
      </w:pPr>
      <w:r>
        <w:rPr>
          <w:sz w:val="21"/>
        </w:rPr>
        <w:t>9.1 Streamlit Interactive Architecture &amp; Adaptive UI Design</w:t>
      </w:r>
    </w:p>
    <w:p>
      <w:pPr>
        <w:pStyle w:val="ListBullet"/>
      </w:pPr>
      <w:r>
        <w:rPr>
          <w:sz w:val="21"/>
        </w:rPr>
        <w:t>9.2 Applicant Portal &amp; 1-Click Institutional Demo Loaders</w:t>
      </w:r>
    </w:p>
    <w:p>
      <w:pPr>
        <w:pStyle w:val="ListBullet"/>
      </w:pPr>
      <w:r>
        <w:rPr>
          <w:sz w:val="21"/>
        </w:rPr>
        <w:t>9.3 Corporate Financial Intelligence &amp; Valuation Hub (6 Sub-Tabs &amp; Plotly Visualizations)</w:t>
      </w:r>
    </w:p>
    <w:p>
      <w:pPr>
        <w:pStyle w:val="ListBullet"/>
      </w:pPr>
      <w:r>
        <w:rPr>
          <w:sz w:val="21"/>
        </w:rPr>
        <w:t>9.4 Credit Manager Dashboard: Active Queue, Portfolio Analytics &amp; Overrides</w:t>
      </w:r>
    </w:p>
    <w:p>
      <w:pPr>
        <w:pStyle w:val="ListBullet"/>
      </w:pPr>
      <w:r>
        <w:rPr>
          <w:sz w:val="21"/>
        </w:rPr>
        <w:t>9.5 Publication-Grade Microsoft Word (`.docx`) Memorandum Synthesizer</w:t>
      </w:r>
    </w:p>
    <w:p>
      <w:pPr>
        <w:pStyle w:val="ListBullet"/>
      </w:pPr>
      <w:r>
        <w:rPr>
          <w:sz w:val="21"/>
        </w:rPr>
        <w:t>**Chapter 10: System Implementation, Verification &amp; Benchmark Results**</w:t>
      </w:r>
    </w:p>
    <w:p>
      <w:pPr>
        <w:pStyle w:val="ListBullet"/>
      </w:pPr>
      <w:r>
        <w:rPr>
          <w:sz w:val="21"/>
        </w:rPr>
        <w:t>10.1 Codebase Structure &amp; Component Integration</w:t>
      </w:r>
    </w:p>
    <w:p>
      <w:pPr>
        <w:pStyle w:val="ListBullet"/>
      </w:pPr>
      <w:r>
        <w:rPr>
          <w:sz w:val="21"/>
        </w:rPr>
        <w:t>10.2 Automated Verification Test Suite (`test_system_e2e_verification.py`)</w:t>
      </w:r>
    </w:p>
    <w:p>
      <w:pPr>
        <w:pStyle w:val="ListBullet"/>
      </w:pPr>
      <w:r>
        <w:rPr>
          <w:sz w:val="21"/>
        </w:rPr>
        <w:t>10.3 Walkthrough of 8 Institutional Benchmark Case Studies</w:t>
      </w:r>
    </w:p>
    <w:p>
      <w:pPr>
        <w:pStyle w:val="ListBullet"/>
      </w:pPr>
      <w:r>
        <w:rPr>
          <w:sz w:val="21"/>
        </w:rPr>
        <w:t>10.4 Performance Benchmarking (Turnaround Time TAT, Throughput, Token Economics)</w:t>
      </w:r>
    </w:p>
    <w:p>
      <w:pPr>
        <w:pStyle w:val="ListBullet"/>
      </w:pPr>
      <w:r>
        <w:rPr>
          <w:sz w:val="21"/>
        </w:rPr>
        <w:t>**Chapter 11: Security, Governance &amp; Regulatory Compliance**</w:t>
      </w:r>
    </w:p>
    <w:p>
      <w:pPr>
        <w:pStyle w:val="ListBullet"/>
      </w:pPr>
      <w:r>
        <w:rPr>
          <w:sz w:val="21"/>
        </w:rPr>
        <w:t>11.1 Zero Auto-Sanction Policy &amp; State Interruption Mechanics</w:t>
      </w:r>
    </w:p>
    <w:p>
      <w:pPr>
        <w:pStyle w:val="ListBullet"/>
      </w:pPr>
      <w:r>
        <w:rPr>
          <w:sz w:val="21"/>
        </w:rPr>
        <w:t>11.2 Data Protection &amp; PII Token Masking under DPDP Act 2023</w:t>
      </w:r>
    </w:p>
    <w:p>
      <w:pPr>
        <w:pStyle w:val="ListBullet"/>
      </w:pPr>
      <w:r>
        <w:rPr>
          <w:sz w:val="21"/>
        </w:rPr>
        <w:t>11.3 Immutable Audit Trail &amp; Manager Override Governance</w:t>
      </w:r>
    </w:p>
    <w:p>
      <w:pPr>
        <w:pStyle w:val="ListBullet"/>
      </w:pPr>
      <w:r>
        <w:rPr>
          <w:sz w:val="21"/>
        </w:rPr>
        <w:t>11.4 Disaster Recovery, ACID Compliance &amp; Model Risk Management</w:t>
      </w:r>
    </w:p>
    <w:p>
      <w:pPr>
        <w:pStyle w:val="ListBullet"/>
      </w:pPr>
      <w:r>
        <w:rPr>
          <w:sz w:val="21"/>
        </w:rPr>
        <w:t>**Chapter 12: Conclusion, Business Impact &amp; Future Scope**</w:t>
      </w:r>
    </w:p>
    <w:p>
      <w:pPr>
        <w:pStyle w:val="ListBullet"/>
      </w:pPr>
      <w:r>
        <w:rPr>
          <w:sz w:val="21"/>
        </w:rPr>
        <w:t>12.1 Summary of Project Deliverables &amp; Achievements</w:t>
      </w:r>
    </w:p>
    <w:p>
      <w:pPr>
        <w:pStyle w:val="ListBullet"/>
      </w:pPr>
      <w:r>
        <w:rPr>
          <w:sz w:val="21"/>
        </w:rPr>
        <w:t>12.2 Quantitative Business Impact on Central Bank of India Operations</w:t>
      </w:r>
    </w:p>
    <w:p>
      <w:pPr>
        <w:pStyle w:val="ListBullet"/>
      </w:pPr>
      <w:r>
        <w:rPr>
          <w:sz w:val="21"/>
        </w:rPr>
        <w:t>12.3 System Limitations</w:t>
      </w:r>
    </w:p>
    <w:p>
      <w:pPr>
        <w:pStyle w:val="ListBullet"/>
      </w:pPr>
      <w:r>
        <w:rPr>
          <w:sz w:val="21"/>
        </w:rPr>
        <w:t>12.4 Future Roadmap (Core Banking CBS Integration, GSTN API Sync, Blockchain Auditing)</w:t>
      </w:r>
    </w:p>
    <w:p>
      <w:pPr>
        <w:pStyle w:val="ListBullet"/>
      </w:pPr>
      <w:r>
        <w:rPr>
          <w:sz w:val="21"/>
        </w:rPr>
        <w:t>**References &amp; Bibliography**</w:t>
      </w:r>
    </w:p>
    <w:p>
      <w:pPr>
        <w:pStyle w:val="Heading2"/>
      </w:pPr>
      <w:r>
        <w:rPr>
          <w:b/>
          <w:color w:val="1E5A96"/>
          <w:sz w:val="28"/>
        </w:rPr>
        <w:t>🔤 LIST OF ABBREVIATIONS &amp; BANKING ACRONYMS</w:t>
      </w:r>
    </w:p>
    <w:tbl>
      <w:tblPr>
        <w:tblW w:type="auto" w:w="0"/>
        <w:jc w:val="center"/>
        <w:tblLook w:firstColumn="1" w:firstRow="1" w:lastColumn="0" w:lastRow="0" w:noHBand="0" w:noVBand="1" w:val="04A0"/>
      </w:tblPr>
      <w:tblGrid>
        <w:gridCol w:w="4680"/>
        <w:gridCol w:w="4680"/>
      </w:tblGrid>
      <w:tr>
        <w:tc>
          <w:tcPr>
            <w:tcW w:type="dxa" w:w="4680"/>
            <w:shd w:val="clear" w:color="auto" w:fill="0F4C81"/>
          </w:tcPr>
          <w:p>
            <w:r>
              <w:rPr>
                <w:b/>
                <w:color w:val="FFFFFF"/>
                <w:sz w:val="19"/>
              </w:rPr>
              <w:t>Acronym</w:t>
            </w:r>
          </w:p>
        </w:tc>
        <w:tc>
          <w:tcPr>
            <w:tcW w:type="dxa" w:w="4680"/>
            <w:shd w:val="clear" w:color="auto" w:fill="0F4C81"/>
          </w:tcPr>
          <w:p>
            <w:r>
              <w:rPr>
                <w:b/>
                <w:color w:val="FFFFFF"/>
                <w:sz w:val="19"/>
              </w:rPr>
              <w:t>Complete Expansion / Institutional Meaning</w:t>
            </w:r>
          </w:p>
        </w:tc>
      </w:tr>
      <w:tr>
        <w:tc>
          <w:tcPr>
            <w:tcW w:type="dxa" w:w="4680"/>
          </w:tcPr>
          <w:p>
            <w:r>
              <w:rPr>
                <w:sz w:val="18"/>
              </w:rPr>
              <w:t>**ALCO**</w:t>
            </w:r>
          </w:p>
        </w:tc>
        <w:tc>
          <w:tcPr>
            <w:tcW w:type="dxa" w:w="4680"/>
          </w:tcPr>
          <w:p>
            <w:r>
              <w:rPr>
                <w:sz w:val="18"/>
              </w:rPr>
              <w:t>Asset-Liability Committee (Apex Risk &amp; Balance Sheet Governance Body)</w:t>
            </w:r>
          </w:p>
        </w:tc>
      </w:tr>
      <w:tr>
        <w:tc>
          <w:tcPr>
            <w:tcW w:type="dxa" w:w="4680"/>
          </w:tcPr>
          <w:p>
            <w:r>
              <w:rPr>
                <w:sz w:val="18"/>
              </w:rPr>
              <w:t>**AML**</w:t>
            </w:r>
          </w:p>
        </w:tc>
        <w:tc>
          <w:tcPr>
            <w:tcW w:type="dxa" w:w="4680"/>
          </w:tcPr>
          <w:p>
            <w:r>
              <w:rPr>
                <w:sz w:val="18"/>
              </w:rPr>
              <w:t>Anti-Money Laundering</w:t>
            </w:r>
          </w:p>
        </w:tc>
      </w:tr>
      <w:tr>
        <w:tc>
          <w:tcPr>
            <w:tcW w:type="dxa" w:w="4680"/>
          </w:tcPr>
          <w:p>
            <w:r>
              <w:rPr>
                <w:sz w:val="18"/>
              </w:rPr>
              <w:t>**AQI**</w:t>
            </w:r>
          </w:p>
        </w:tc>
        <w:tc>
          <w:tcPr>
            <w:tcW w:type="dxa" w:w="4680"/>
          </w:tcPr>
          <w:p>
            <w:r>
              <w:rPr>
                <w:sz w:val="18"/>
              </w:rPr>
              <w:t>Asset Quality Index (Beneish M-Score Index)</w:t>
            </w:r>
          </w:p>
        </w:tc>
      </w:tr>
      <w:tr>
        <w:tc>
          <w:tcPr>
            <w:tcW w:type="dxa" w:w="4680"/>
          </w:tcPr>
          <w:p>
            <w:r>
              <w:rPr>
                <w:sz w:val="18"/>
              </w:rPr>
              <w:t>**BSP**</w:t>
            </w:r>
          </w:p>
        </w:tc>
        <w:tc>
          <w:tcPr>
            <w:tcW w:type="dxa" w:w="4680"/>
          </w:tcPr>
          <w:p>
            <w:r>
              <w:rPr>
                <w:sz w:val="18"/>
              </w:rPr>
              <w:t>Business Strategy Premium (Interest Rate Spread Component)</w:t>
            </w:r>
          </w:p>
        </w:tc>
      </w:tr>
      <w:tr>
        <w:tc>
          <w:tcPr>
            <w:tcW w:type="dxa" w:w="4680"/>
          </w:tcPr>
          <w:p>
            <w:r>
              <w:rPr>
                <w:sz w:val="18"/>
              </w:rPr>
              <w:t>**CAM**</w:t>
            </w:r>
          </w:p>
        </w:tc>
        <w:tc>
          <w:tcPr>
            <w:tcW w:type="dxa" w:w="4680"/>
          </w:tcPr>
          <w:p>
            <w:r>
              <w:rPr>
                <w:sz w:val="18"/>
              </w:rPr>
              <w:t>Credit Appraisal Memorandum</w:t>
            </w:r>
          </w:p>
        </w:tc>
      </w:tr>
      <w:tr>
        <w:tc>
          <w:tcPr>
            <w:tcW w:type="dxa" w:w="4680"/>
          </w:tcPr>
          <w:p>
            <w:r>
              <w:rPr>
                <w:sz w:val="18"/>
              </w:rPr>
              <w:t>**CBI**</w:t>
            </w:r>
          </w:p>
        </w:tc>
        <w:tc>
          <w:tcPr>
            <w:tcW w:type="dxa" w:w="4680"/>
          </w:tcPr>
          <w:p>
            <w:r>
              <w:rPr>
                <w:sz w:val="18"/>
              </w:rPr>
              <w:t>Central Bank of India (Official Institutional Grade CBI 1 to CBI 10)</w:t>
            </w:r>
          </w:p>
        </w:tc>
      </w:tr>
      <w:tr>
        <w:tc>
          <w:tcPr>
            <w:tcW w:type="dxa" w:w="4680"/>
          </w:tcPr>
          <w:p>
            <w:r>
              <w:rPr>
                <w:sz w:val="18"/>
              </w:rPr>
              <w:t>**CBOI**</w:t>
            </w:r>
          </w:p>
        </w:tc>
        <w:tc>
          <w:tcPr>
            <w:tcW w:type="dxa" w:w="4680"/>
          </w:tcPr>
          <w:p>
            <w:r>
              <w:rPr>
                <w:sz w:val="18"/>
              </w:rPr>
              <w:t>Central Bank of India</w:t>
            </w:r>
          </w:p>
        </w:tc>
      </w:tr>
      <w:tr>
        <w:tc>
          <w:tcPr>
            <w:tcW w:type="dxa" w:w="4680"/>
          </w:tcPr>
          <w:p>
            <w:r>
              <w:rPr>
                <w:sz w:val="18"/>
              </w:rPr>
              <w:t>**CIBIL**</w:t>
            </w:r>
          </w:p>
        </w:tc>
        <w:tc>
          <w:tcPr>
            <w:tcW w:type="dxa" w:w="4680"/>
          </w:tcPr>
          <w:p>
            <w:r>
              <w:rPr>
                <w:sz w:val="18"/>
              </w:rPr>
              <w:t>Credit Information Bureau (India) Limited</w:t>
            </w:r>
          </w:p>
        </w:tc>
      </w:tr>
      <w:tr>
        <w:tc>
          <w:tcPr>
            <w:tcW w:type="dxa" w:w="4680"/>
          </w:tcPr>
          <w:p>
            <w:r>
              <w:rPr>
                <w:sz w:val="18"/>
              </w:rPr>
              <w:t>**CMA**</w:t>
            </w:r>
          </w:p>
        </w:tc>
        <w:tc>
          <w:tcPr>
            <w:tcW w:type="dxa" w:w="4680"/>
          </w:tcPr>
          <w:p>
            <w:r>
              <w:rPr>
                <w:sz w:val="18"/>
              </w:rPr>
              <w:t>Credit Monitoring Arrangement (Standard Indian Banking Financial Spreading Format)</w:t>
            </w:r>
          </w:p>
        </w:tc>
      </w:tr>
      <w:tr>
        <w:tc>
          <w:tcPr>
            <w:tcW w:type="dxa" w:w="4680"/>
          </w:tcPr>
          <w:p>
            <w:r>
              <w:rPr>
                <w:sz w:val="18"/>
              </w:rPr>
              <w:t>**COGS**</w:t>
            </w:r>
          </w:p>
        </w:tc>
        <w:tc>
          <w:tcPr>
            <w:tcW w:type="dxa" w:w="4680"/>
          </w:tcPr>
          <w:p>
            <w:r>
              <w:rPr>
                <w:sz w:val="18"/>
              </w:rPr>
              <w:t>Cost of Goods Sold</w:t>
            </w:r>
          </w:p>
        </w:tc>
      </w:tr>
      <w:tr>
        <w:tc>
          <w:tcPr>
            <w:tcW w:type="dxa" w:w="4680"/>
          </w:tcPr>
          <w:p>
            <w:r>
              <w:rPr>
                <w:sz w:val="18"/>
              </w:rPr>
              <w:t>**CRP**</w:t>
            </w:r>
          </w:p>
        </w:tc>
        <w:tc>
          <w:tcPr>
            <w:tcW w:type="dxa" w:w="4680"/>
          </w:tcPr>
          <w:p>
            <w:r>
              <w:rPr>
                <w:sz w:val="18"/>
              </w:rPr>
              <w:t>Credit Risk Premium (Risk-Based Interest Margin)</w:t>
            </w:r>
          </w:p>
        </w:tc>
      </w:tr>
      <w:tr>
        <w:tc>
          <w:tcPr>
            <w:tcW w:type="dxa" w:w="4680"/>
          </w:tcPr>
          <w:p>
            <w:r>
              <w:rPr>
                <w:sz w:val="18"/>
              </w:rPr>
              <w:t>**CR**</w:t>
            </w:r>
          </w:p>
        </w:tc>
        <w:tc>
          <w:tcPr>
            <w:tcW w:type="dxa" w:w="4680"/>
          </w:tcPr>
          <w:p>
            <w:r>
              <w:rPr>
                <w:sz w:val="18"/>
              </w:rPr>
              <w:t>Current Ratio ($</w:t>
              <w:tab/>
              <w:t xml:space="preserve">ext{Current Assets} / </w:t>
              <w:tab/>
              <w:t>ext{Current Liabilities}$)</w:t>
            </w:r>
          </w:p>
        </w:tc>
      </w:tr>
      <w:tr>
        <w:tc>
          <w:tcPr>
            <w:tcW w:type="dxa" w:w="4680"/>
          </w:tcPr>
          <w:p>
            <w:r>
              <w:rPr>
                <w:sz w:val="18"/>
              </w:rPr>
              <w:t>**DCF**</w:t>
            </w:r>
          </w:p>
        </w:tc>
        <w:tc>
          <w:tcPr>
            <w:tcW w:type="dxa" w:w="4680"/>
          </w:tcPr>
          <w:p>
            <w:r>
              <w:rPr>
                <w:sz w:val="18"/>
              </w:rPr>
              <w:t>Discounted Cash Flow</w:t>
            </w:r>
          </w:p>
        </w:tc>
      </w:tr>
      <w:tr>
        <w:tc>
          <w:tcPr>
            <w:tcW w:type="dxa" w:w="4680"/>
          </w:tcPr>
          <w:p>
            <w:r>
              <w:rPr>
                <w:sz w:val="18"/>
              </w:rPr>
              <w:t>**DER**</w:t>
            </w:r>
          </w:p>
        </w:tc>
        <w:tc>
          <w:tcPr>
            <w:tcW w:type="dxa" w:w="4680"/>
          </w:tcPr>
          <w:p>
            <w:r>
              <w:rPr>
                <w:sz w:val="18"/>
              </w:rPr>
              <w:t>Debt-to-Equity Ratio ($</w:t>
              <w:tab/>
              <w:t xml:space="preserve">ext{Total Long-Term Debt} / </w:t>
              <w:tab/>
              <w:t>ext{Net Worth}$)</w:t>
            </w:r>
          </w:p>
        </w:tc>
      </w:tr>
      <w:tr>
        <w:tc>
          <w:tcPr>
            <w:tcW w:type="dxa" w:w="4680"/>
          </w:tcPr>
          <w:p>
            <w:r>
              <w:rPr>
                <w:sz w:val="18"/>
              </w:rPr>
              <w:t>**DPDP**</w:t>
            </w:r>
          </w:p>
        </w:tc>
        <w:tc>
          <w:tcPr>
            <w:tcW w:type="dxa" w:w="4680"/>
          </w:tcPr>
          <w:p>
            <w:r>
              <w:rPr>
                <w:sz w:val="18"/>
              </w:rPr>
              <w:t>Digital Personal Data Protection Act 2023 (Govt of India)</w:t>
            </w:r>
          </w:p>
        </w:tc>
      </w:tr>
      <w:tr>
        <w:tc>
          <w:tcPr>
            <w:tcW w:type="dxa" w:w="4680"/>
          </w:tcPr>
          <w:p>
            <w:r>
              <w:rPr>
                <w:sz w:val="18"/>
              </w:rPr>
              <w:t>**DSCR**</w:t>
            </w:r>
          </w:p>
        </w:tc>
        <w:tc>
          <w:tcPr>
            <w:tcW w:type="dxa" w:w="4680"/>
          </w:tcPr>
          <w:p>
            <w:r>
              <w:rPr>
                <w:sz w:val="18"/>
              </w:rPr>
              <w:t>Debt Service Coverage Ratio</w:t>
            </w:r>
          </w:p>
        </w:tc>
      </w:tr>
      <w:tr>
        <w:tc>
          <w:tcPr>
            <w:tcW w:type="dxa" w:w="4680"/>
          </w:tcPr>
          <w:p>
            <w:r>
              <w:rPr>
                <w:sz w:val="18"/>
              </w:rPr>
              <w:t>**DSRI**</w:t>
            </w:r>
          </w:p>
        </w:tc>
        <w:tc>
          <w:tcPr>
            <w:tcW w:type="dxa" w:w="4680"/>
          </w:tcPr>
          <w:p>
            <w:r>
              <w:rPr>
                <w:sz w:val="18"/>
              </w:rPr>
              <w:t>Days Sales in Receivables Index (Beneish M-Score Index)</w:t>
            </w:r>
          </w:p>
        </w:tc>
      </w:tr>
      <w:tr>
        <w:tc>
          <w:tcPr>
            <w:tcW w:type="dxa" w:w="4680"/>
          </w:tcPr>
          <w:p>
            <w:r>
              <w:rPr>
                <w:sz w:val="18"/>
              </w:rPr>
              <w:t>**EBITDA**</w:t>
            </w:r>
          </w:p>
        </w:tc>
        <w:tc>
          <w:tcPr>
            <w:tcW w:type="dxa" w:w="4680"/>
          </w:tcPr>
          <w:p>
            <w:r>
              <w:rPr>
                <w:sz w:val="18"/>
              </w:rPr>
              <w:t>Earnings Before Interest, Taxes, Depreciation, and Amortization</w:t>
            </w:r>
          </w:p>
        </w:tc>
      </w:tr>
      <w:tr>
        <w:tc>
          <w:tcPr>
            <w:tcW w:type="dxa" w:w="4680"/>
          </w:tcPr>
          <w:p>
            <w:r>
              <w:rPr>
                <w:sz w:val="18"/>
              </w:rPr>
              <w:t>**EMI**</w:t>
            </w:r>
          </w:p>
        </w:tc>
        <w:tc>
          <w:tcPr>
            <w:tcW w:type="dxa" w:w="4680"/>
          </w:tcPr>
          <w:p>
            <w:r>
              <w:rPr>
                <w:sz w:val="18"/>
              </w:rPr>
              <w:t>Equated Monthly Installment</w:t>
            </w:r>
          </w:p>
        </w:tc>
      </w:tr>
      <w:tr>
        <w:tc>
          <w:tcPr>
            <w:tcW w:type="dxa" w:w="4680"/>
          </w:tcPr>
          <w:p>
            <w:r>
              <w:rPr>
                <w:sz w:val="18"/>
              </w:rPr>
              <w:t>**EV**</w:t>
            </w:r>
          </w:p>
        </w:tc>
        <w:tc>
          <w:tcPr>
            <w:tcW w:type="dxa" w:w="4680"/>
          </w:tcPr>
          <w:p>
            <w:r>
              <w:rPr>
                <w:sz w:val="18"/>
              </w:rPr>
              <w:t>Enterprise Value</w:t>
            </w:r>
          </w:p>
        </w:tc>
      </w:tr>
      <w:tr>
        <w:tc>
          <w:tcPr>
            <w:tcW w:type="dxa" w:w="4680"/>
          </w:tcPr>
          <w:p>
            <w:r>
              <w:rPr>
                <w:sz w:val="18"/>
              </w:rPr>
              <w:t>**FCFF**</w:t>
            </w:r>
          </w:p>
        </w:tc>
        <w:tc>
          <w:tcPr>
            <w:tcW w:type="dxa" w:w="4680"/>
          </w:tcPr>
          <w:p>
            <w:r>
              <w:rPr>
                <w:sz w:val="18"/>
              </w:rPr>
              <w:t>Free Cash Flow to Firm</w:t>
            </w:r>
          </w:p>
        </w:tc>
      </w:tr>
      <w:tr>
        <w:tc>
          <w:tcPr>
            <w:tcW w:type="dxa" w:w="4680"/>
          </w:tcPr>
          <w:p>
            <w:r>
              <w:rPr>
                <w:sz w:val="18"/>
              </w:rPr>
              <w:t>**FOIR**</w:t>
            </w:r>
          </w:p>
        </w:tc>
        <w:tc>
          <w:tcPr>
            <w:tcW w:type="dxa" w:w="4680"/>
          </w:tcPr>
          <w:p>
            <w:r>
              <w:rPr>
                <w:sz w:val="18"/>
              </w:rPr>
              <w:t>Fixed Obligation to Income Ratio (Statutory Debt Serviceability Cap $\le 50\%$)</w:t>
            </w:r>
          </w:p>
        </w:tc>
      </w:tr>
      <w:tr>
        <w:tc>
          <w:tcPr>
            <w:tcW w:type="dxa" w:w="4680"/>
          </w:tcPr>
          <w:p>
            <w:r>
              <w:rPr>
                <w:sz w:val="18"/>
              </w:rPr>
              <w:t>**FTS**</w:t>
            </w:r>
          </w:p>
        </w:tc>
        <w:tc>
          <w:tcPr>
            <w:tcW w:type="dxa" w:w="4680"/>
          </w:tcPr>
          <w:p>
            <w:r>
              <w:rPr>
                <w:sz w:val="18"/>
              </w:rPr>
              <w:t>Full-Text Search (PostgreSQL `tsvector` / BM25)</w:t>
            </w:r>
          </w:p>
        </w:tc>
      </w:tr>
      <w:tr>
        <w:tc>
          <w:tcPr>
            <w:tcW w:type="dxa" w:w="4680"/>
          </w:tcPr>
          <w:p>
            <w:r>
              <w:rPr>
                <w:sz w:val="18"/>
              </w:rPr>
              <w:t>**GMI**</w:t>
            </w:r>
          </w:p>
        </w:tc>
        <w:tc>
          <w:tcPr>
            <w:tcW w:type="dxa" w:w="4680"/>
          </w:tcPr>
          <w:p>
            <w:r>
              <w:rPr>
                <w:sz w:val="18"/>
              </w:rPr>
              <w:t>Gross Margin Index (Beneish M-Score Index)</w:t>
            </w:r>
          </w:p>
        </w:tc>
      </w:tr>
      <w:tr>
        <w:tc>
          <w:tcPr>
            <w:tcW w:type="dxa" w:w="4680"/>
          </w:tcPr>
          <w:p>
            <w:r>
              <w:rPr>
                <w:sz w:val="18"/>
              </w:rPr>
              <w:t>**HITL**</w:t>
            </w:r>
          </w:p>
        </w:tc>
        <w:tc>
          <w:tcPr>
            <w:tcW w:type="dxa" w:w="4680"/>
          </w:tcPr>
          <w:p>
            <w:r>
              <w:rPr>
                <w:sz w:val="18"/>
              </w:rPr>
              <w:t>Human-in-the-Loop</w:t>
            </w:r>
          </w:p>
        </w:tc>
      </w:tr>
      <w:tr>
        <w:tc>
          <w:tcPr>
            <w:tcW w:type="dxa" w:w="4680"/>
          </w:tcPr>
          <w:p>
            <w:r>
              <w:rPr>
                <w:sz w:val="18"/>
              </w:rPr>
              <w:t>**ILAS**</w:t>
            </w:r>
          </w:p>
        </w:tc>
        <w:tc>
          <w:tcPr>
            <w:tcW w:type="dxa" w:w="4680"/>
          </w:tcPr>
          <w:p>
            <w:r>
              <w:rPr>
                <w:sz w:val="18"/>
              </w:rPr>
              <w:t>Intelligent Loan Appraisal System</w:t>
            </w:r>
          </w:p>
        </w:tc>
      </w:tr>
      <w:tr>
        <w:tc>
          <w:tcPr>
            <w:tcW w:type="dxa" w:w="4680"/>
          </w:tcPr>
          <w:p>
            <w:r>
              <w:rPr>
                <w:sz w:val="18"/>
              </w:rPr>
              <w:t>**IRB**</w:t>
            </w:r>
          </w:p>
        </w:tc>
        <w:tc>
          <w:tcPr>
            <w:tcW w:type="dxa" w:w="4680"/>
          </w:tcPr>
          <w:p>
            <w:r>
              <w:rPr>
                <w:sz w:val="18"/>
              </w:rPr>
              <w:t>Internal Ratings-Based Approach (Basel Accords)</w:t>
            </w:r>
          </w:p>
        </w:tc>
      </w:tr>
      <w:tr>
        <w:tc>
          <w:tcPr>
            <w:tcW w:type="dxa" w:w="4680"/>
          </w:tcPr>
          <w:p>
            <w:r>
              <w:rPr>
                <w:sz w:val="18"/>
              </w:rPr>
              <w:t>**KYC**</w:t>
            </w:r>
          </w:p>
        </w:tc>
        <w:tc>
          <w:tcPr>
            <w:tcW w:type="dxa" w:w="4680"/>
          </w:tcPr>
          <w:p>
            <w:r>
              <w:rPr>
                <w:sz w:val="18"/>
              </w:rPr>
              <w:t>Know Your Customer</w:t>
            </w:r>
          </w:p>
        </w:tc>
      </w:tr>
      <w:tr>
        <w:tc>
          <w:tcPr>
            <w:tcW w:type="dxa" w:w="4680"/>
          </w:tcPr>
          <w:p>
            <w:r>
              <w:rPr>
                <w:sz w:val="18"/>
              </w:rPr>
              <w:t>**LC / BG**</w:t>
            </w:r>
          </w:p>
        </w:tc>
        <w:tc>
          <w:tcPr>
            <w:tcW w:type="dxa" w:w="4680"/>
          </w:tcPr>
          <w:p>
            <w:r>
              <w:rPr>
                <w:sz w:val="18"/>
              </w:rPr>
              <w:t>Letter of Credit / Bank Guarantee (Non-Fund Based Credit Facilities)</w:t>
            </w:r>
          </w:p>
        </w:tc>
      </w:tr>
      <w:tr>
        <w:tc>
          <w:tcPr>
            <w:tcW w:type="dxa" w:w="4680"/>
          </w:tcPr>
          <w:p>
            <w:r>
              <w:rPr>
                <w:sz w:val="18"/>
              </w:rPr>
              <w:t>**LTV**</w:t>
            </w:r>
          </w:p>
        </w:tc>
        <w:tc>
          <w:tcPr>
            <w:tcW w:type="dxa" w:w="4680"/>
          </w:tcPr>
          <w:p>
            <w:r>
              <w:rPr>
                <w:sz w:val="18"/>
              </w:rPr>
              <w:t>Loan-to-Value Ratio (RBI Statutory Collateral Ceiling $75\% - 90\%$)</w:t>
            </w:r>
          </w:p>
        </w:tc>
      </w:tr>
      <w:tr>
        <w:tc>
          <w:tcPr>
            <w:tcW w:type="dxa" w:w="4680"/>
          </w:tcPr>
          <w:p>
            <w:r>
              <w:rPr>
                <w:sz w:val="18"/>
              </w:rPr>
              <w:t>**MPBF**</w:t>
            </w:r>
          </w:p>
        </w:tc>
        <w:tc>
          <w:tcPr>
            <w:tcW w:type="dxa" w:w="4680"/>
          </w:tcPr>
          <w:p>
            <w:r>
              <w:rPr>
                <w:sz w:val="18"/>
              </w:rPr>
              <w:t>Maximum Permissible Bank Finance (Tandon Committee / Nayak Turnover Working Capital)</w:t>
            </w:r>
          </w:p>
        </w:tc>
      </w:tr>
      <w:tr>
        <w:tc>
          <w:tcPr>
            <w:tcW w:type="dxa" w:w="4680"/>
          </w:tcPr>
          <w:p>
            <w:r>
              <w:rPr>
                <w:sz w:val="18"/>
              </w:rPr>
              <w:t>**MSE**</w:t>
            </w:r>
          </w:p>
        </w:tc>
        <w:tc>
          <w:tcPr>
            <w:tcW w:type="dxa" w:w="4680"/>
          </w:tcPr>
          <w:p>
            <w:r>
              <w:rPr>
                <w:sz w:val="18"/>
              </w:rPr>
              <w:t>Micro and Small Enterprises</w:t>
            </w:r>
          </w:p>
        </w:tc>
      </w:tr>
      <w:tr>
        <w:tc>
          <w:tcPr>
            <w:tcW w:type="dxa" w:w="4680"/>
          </w:tcPr>
          <w:p>
            <w:r>
              <w:rPr>
                <w:sz w:val="18"/>
              </w:rPr>
              <w:t>**MSME**</w:t>
            </w:r>
          </w:p>
        </w:tc>
        <w:tc>
          <w:tcPr>
            <w:tcW w:type="dxa" w:w="4680"/>
          </w:tcPr>
          <w:p>
            <w:r>
              <w:rPr>
                <w:sz w:val="18"/>
              </w:rPr>
              <w:t>Micro, Small, and Medium Enterprises</w:t>
            </w:r>
          </w:p>
        </w:tc>
      </w:tr>
      <w:tr>
        <w:tc>
          <w:tcPr>
            <w:tcW w:type="dxa" w:w="4680"/>
          </w:tcPr>
          <w:p>
            <w:r>
              <w:rPr>
                <w:sz w:val="18"/>
              </w:rPr>
              <w:t>**NPA**</w:t>
            </w:r>
          </w:p>
        </w:tc>
        <w:tc>
          <w:tcPr>
            <w:tcW w:type="dxa" w:w="4680"/>
          </w:tcPr>
          <w:p>
            <w:r>
              <w:rPr>
                <w:sz w:val="18"/>
              </w:rPr>
              <w:t>Non-Performing Asset (Default $&gt;90$ Days Past Due)</w:t>
            </w:r>
          </w:p>
        </w:tc>
      </w:tr>
      <w:tr>
        <w:tc>
          <w:tcPr>
            <w:tcW w:type="dxa" w:w="4680"/>
          </w:tcPr>
          <w:p>
            <w:r>
              <w:rPr>
                <w:sz w:val="18"/>
              </w:rPr>
              <w:t>**OCR**</w:t>
            </w:r>
          </w:p>
        </w:tc>
        <w:tc>
          <w:tcPr>
            <w:tcW w:type="dxa" w:w="4680"/>
          </w:tcPr>
          <w:p>
            <w:r>
              <w:rPr>
                <w:sz w:val="18"/>
              </w:rPr>
              <w:t>Optical Character Recognition</w:t>
            </w:r>
          </w:p>
        </w:tc>
      </w:tr>
      <w:tr>
        <w:tc>
          <w:tcPr>
            <w:tcW w:type="dxa" w:w="4680"/>
          </w:tcPr>
          <w:p>
            <w:r>
              <w:rPr>
                <w:sz w:val="18"/>
              </w:rPr>
              <w:t>**PAT**</w:t>
            </w:r>
          </w:p>
        </w:tc>
        <w:tc>
          <w:tcPr>
            <w:tcW w:type="dxa" w:w="4680"/>
          </w:tcPr>
          <w:p>
            <w:r>
              <w:rPr>
                <w:sz w:val="18"/>
              </w:rPr>
              <w:t>Profit After Tax</w:t>
            </w:r>
          </w:p>
        </w:tc>
      </w:tr>
      <w:tr>
        <w:tc>
          <w:tcPr>
            <w:tcW w:type="dxa" w:w="4680"/>
          </w:tcPr>
          <w:p>
            <w:r>
              <w:rPr>
                <w:sz w:val="18"/>
              </w:rPr>
              <w:t>**PD**</w:t>
            </w:r>
          </w:p>
        </w:tc>
        <w:tc>
          <w:tcPr>
            <w:tcW w:type="dxa" w:w="4680"/>
          </w:tcPr>
          <w:p>
            <w:r>
              <w:rPr>
                <w:sz w:val="18"/>
              </w:rPr>
              <w:t>Probability of Default</w:t>
            </w:r>
          </w:p>
        </w:tc>
      </w:tr>
      <w:tr>
        <w:tc>
          <w:tcPr>
            <w:tcW w:type="dxa" w:w="4680"/>
          </w:tcPr>
          <w:p>
            <w:r>
              <w:rPr>
                <w:sz w:val="18"/>
              </w:rPr>
              <w:t>**PII**</w:t>
            </w:r>
          </w:p>
        </w:tc>
        <w:tc>
          <w:tcPr>
            <w:tcW w:type="dxa" w:w="4680"/>
          </w:tcPr>
          <w:p>
            <w:r>
              <w:rPr>
                <w:sz w:val="18"/>
              </w:rPr>
              <w:t>Personally Identifiable Information</w:t>
            </w:r>
          </w:p>
        </w:tc>
      </w:tr>
      <w:tr>
        <w:tc>
          <w:tcPr>
            <w:tcW w:type="dxa" w:w="4680"/>
          </w:tcPr>
          <w:p>
            <w:r>
              <w:rPr>
                <w:sz w:val="18"/>
              </w:rPr>
              <w:t>**QIS**</w:t>
            </w:r>
          </w:p>
        </w:tc>
        <w:tc>
          <w:tcPr>
            <w:tcW w:type="dxa" w:w="4680"/>
          </w:tcPr>
          <w:p>
            <w:r>
              <w:rPr>
                <w:sz w:val="18"/>
              </w:rPr>
              <w:t>Quarterly Information System (Stock Statement Governance)</w:t>
            </w:r>
          </w:p>
        </w:tc>
      </w:tr>
      <w:tr>
        <w:tc>
          <w:tcPr>
            <w:tcW w:type="dxa" w:w="4680"/>
          </w:tcPr>
          <w:p>
            <w:r>
              <w:rPr>
                <w:sz w:val="18"/>
              </w:rPr>
              <w:t>**RAG**</w:t>
            </w:r>
          </w:p>
        </w:tc>
        <w:tc>
          <w:tcPr>
            <w:tcW w:type="dxa" w:w="4680"/>
          </w:tcPr>
          <w:p>
            <w:r>
              <w:rPr>
                <w:sz w:val="18"/>
              </w:rPr>
              <w:t>Retrieval-Augmented Generation</w:t>
            </w:r>
          </w:p>
        </w:tc>
      </w:tr>
      <w:tr>
        <w:tc>
          <w:tcPr>
            <w:tcW w:type="dxa" w:w="4680"/>
          </w:tcPr>
          <w:p>
            <w:r>
              <w:rPr>
                <w:sz w:val="18"/>
              </w:rPr>
              <w:t>**RBLR**</w:t>
            </w:r>
          </w:p>
        </w:tc>
        <w:tc>
          <w:tcPr>
            <w:tcW w:type="dxa" w:w="4680"/>
          </w:tcPr>
          <w:p>
            <w:r>
              <w:rPr>
                <w:sz w:val="18"/>
              </w:rPr>
              <w:t>Repo-Based Lending Rate (External Benchmark Lending Rate pegged to RBI Repo)</w:t>
            </w:r>
          </w:p>
        </w:tc>
      </w:tr>
      <w:tr>
        <w:tc>
          <w:tcPr>
            <w:tcW w:type="dxa" w:w="4680"/>
          </w:tcPr>
          <w:p>
            <w:r>
              <w:rPr>
                <w:sz w:val="18"/>
              </w:rPr>
              <w:t>**RBI**</w:t>
            </w:r>
          </w:p>
        </w:tc>
        <w:tc>
          <w:tcPr>
            <w:tcW w:type="dxa" w:w="4680"/>
          </w:tcPr>
          <w:p>
            <w:r>
              <w:rPr>
                <w:sz w:val="18"/>
              </w:rPr>
              <w:t>Reserve Bank of India (Central Bank &amp; Sovereign Banking Regulator)</w:t>
            </w:r>
          </w:p>
        </w:tc>
      </w:tr>
      <w:tr>
        <w:tc>
          <w:tcPr>
            <w:tcW w:type="dxa" w:w="4680"/>
          </w:tcPr>
          <w:p>
            <w:r>
              <w:rPr>
                <w:sz w:val="18"/>
              </w:rPr>
              <w:t>**ROCE**</w:t>
            </w:r>
          </w:p>
        </w:tc>
        <w:tc>
          <w:tcPr>
            <w:tcW w:type="dxa" w:w="4680"/>
          </w:tcPr>
          <w:p>
            <w:r>
              <w:rPr>
                <w:sz w:val="18"/>
              </w:rPr>
              <w:t>Return on Capital Employed</w:t>
            </w:r>
          </w:p>
        </w:tc>
      </w:tr>
      <w:tr>
        <w:tc>
          <w:tcPr>
            <w:tcW w:type="dxa" w:w="4680"/>
          </w:tcPr>
          <w:p>
            <w:r>
              <w:rPr>
                <w:sz w:val="18"/>
              </w:rPr>
              <w:t>**ROE**</w:t>
            </w:r>
          </w:p>
        </w:tc>
        <w:tc>
          <w:tcPr>
            <w:tcW w:type="dxa" w:w="4680"/>
          </w:tcPr>
          <w:p>
            <w:r>
              <w:rPr>
                <w:sz w:val="18"/>
              </w:rPr>
              <w:t>Return on Equity</w:t>
            </w:r>
          </w:p>
        </w:tc>
      </w:tr>
      <w:tr>
        <w:tc>
          <w:tcPr>
            <w:tcW w:type="dxa" w:w="4680"/>
          </w:tcPr>
          <w:p>
            <w:r>
              <w:rPr>
                <w:sz w:val="18"/>
              </w:rPr>
              <w:t>**RRF**</w:t>
            </w:r>
          </w:p>
        </w:tc>
        <w:tc>
          <w:tcPr>
            <w:tcW w:type="dxa" w:w="4680"/>
          </w:tcPr>
          <w:p>
            <w:r>
              <w:rPr>
                <w:sz w:val="18"/>
              </w:rPr>
              <w:t>Reciprocal Rank Fusion</w:t>
            </w:r>
          </w:p>
        </w:tc>
      </w:tr>
      <w:tr>
        <w:tc>
          <w:tcPr>
            <w:tcW w:type="dxa" w:w="4680"/>
          </w:tcPr>
          <w:p>
            <w:r>
              <w:rPr>
                <w:sz w:val="18"/>
              </w:rPr>
              <w:t>**SGI**</w:t>
            </w:r>
          </w:p>
        </w:tc>
        <w:tc>
          <w:tcPr>
            <w:tcW w:type="dxa" w:w="4680"/>
          </w:tcPr>
          <w:p>
            <w:r>
              <w:rPr>
                <w:sz w:val="18"/>
              </w:rPr>
              <w:t>Sales Growth Index (Beneish M-Score Index)</w:t>
            </w:r>
          </w:p>
        </w:tc>
      </w:tr>
      <w:tr>
        <w:tc>
          <w:tcPr>
            <w:tcW w:type="dxa" w:w="4680"/>
          </w:tcPr>
          <w:p>
            <w:r>
              <w:rPr>
                <w:sz w:val="18"/>
              </w:rPr>
              <w:t>**SHAP**</w:t>
            </w:r>
          </w:p>
        </w:tc>
        <w:tc>
          <w:tcPr>
            <w:tcW w:type="dxa" w:w="4680"/>
          </w:tcPr>
          <w:p>
            <w:r>
              <w:rPr>
                <w:sz w:val="18"/>
              </w:rPr>
              <w:t>Shapley Additive exPlanations (Game-Theoretic Machine Learning Explainability)</w:t>
            </w:r>
          </w:p>
        </w:tc>
      </w:tr>
      <w:tr>
        <w:tc>
          <w:tcPr>
            <w:tcW w:type="dxa" w:w="4680"/>
          </w:tcPr>
          <w:p>
            <w:r>
              <w:rPr>
                <w:sz w:val="18"/>
              </w:rPr>
              <w:t>**SRS**</w:t>
            </w:r>
          </w:p>
        </w:tc>
        <w:tc>
          <w:tcPr>
            <w:tcW w:type="dxa" w:w="4680"/>
          </w:tcPr>
          <w:p>
            <w:r>
              <w:rPr>
                <w:sz w:val="18"/>
              </w:rPr>
              <w:t>Software Requirements Specification</w:t>
            </w:r>
          </w:p>
        </w:tc>
      </w:tr>
      <w:tr>
        <w:tc>
          <w:tcPr>
            <w:tcW w:type="dxa" w:w="4680"/>
          </w:tcPr>
          <w:p>
            <w:r>
              <w:rPr>
                <w:sz w:val="18"/>
              </w:rPr>
              <w:t>**TAT**</w:t>
            </w:r>
          </w:p>
        </w:tc>
        <w:tc>
          <w:tcPr>
            <w:tcW w:type="dxa" w:w="4680"/>
          </w:tcPr>
          <w:p>
            <w:r>
              <w:rPr>
                <w:sz w:val="18"/>
              </w:rPr>
              <w:t>Turnaround Time</w:t>
            </w:r>
          </w:p>
        </w:tc>
      </w:tr>
      <w:tr>
        <w:tc>
          <w:tcPr>
            <w:tcW w:type="dxa" w:w="4680"/>
          </w:tcPr>
          <w:p>
            <w:r>
              <w:rPr>
                <w:sz w:val="18"/>
              </w:rPr>
              <w:t>**TATA**</w:t>
            </w:r>
          </w:p>
        </w:tc>
        <w:tc>
          <w:tcPr>
            <w:tcW w:type="dxa" w:w="4680"/>
          </w:tcPr>
          <w:p>
            <w:r>
              <w:rPr>
                <w:sz w:val="18"/>
              </w:rPr>
              <w:t>Total Accruals to Total Assets (Beneish M-Score Index)</w:t>
            </w:r>
          </w:p>
        </w:tc>
      </w:tr>
      <w:tr>
        <w:tc>
          <w:tcPr>
            <w:tcW w:type="dxa" w:w="4680"/>
          </w:tcPr>
          <w:p>
            <w:r>
              <w:rPr>
                <w:sz w:val="18"/>
              </w:rPr>
              <w:t>**TNW**</w:t>
            </w:r>
          </w:p>
        </w:tc>
        <w:tc>
          <w:tcPr>
            <w:tcW w:type="dxa" w:w="4680"/>
          </w:tcPr>
          <w:p>
            <w:r>
              <w:rPr>
                <w:sz w:val="18"/>
              </w:rPr>
              <w:t>Tangible Net Worth</w:t>
            </w:r>
          </w:p>
        </w:tc>
      </w:tr>
      <w:tr>
        <w:tc>
          <w:tcPr>
            <w:tcW w:type="dxa" w:w="4680"/>
          </w:tcPr>
          <w:p>
            <w:r>
              <w:rPr>
                <w:sz w:val="18"/>
              </w:rPr>
              <w:t>**TOL / TNW**</w:t>
            </w:r>
          </w:p>
        </w:tc>
        <w:tc>
          <w:tcPr>
            <w:tcW w:type="dxa" w:w="4680"/>
          </w:tcPr>
          <w:p>
            <w:r>
              <w:rPr>
                <w:sz w:val="18"/>
              </w:rPr>
              <w:t>Total Outside Liabilities to Tangible Net Worth</w:t>
            </w:r>
          </w:p>
        </w:tc>
      </w:tr>
      <w:tr>
        <w:tc>
          <w:tcPr>
            <w:tcW w:type="dxa" w:w="4680"/>
          </w:tcPr>
          <w:p>
            <w:r>
              <w:rPr>
                <w:sz w:val="18"/>
              </w:rPr>
              <w:t>**WACC**</w:t>
            </w:r>
          </w:p>
        </w:tc>
        <w:tc>
          <w:tcPr>
            <w:tcW w:type="dxa" w:w="4680"/>
          </w:tcPr>
          <w:p>
            <w:r>
              <w:rPr>
                <w:sz w:val="18"/>
              </w:rPr>
              <w:t>Weighted Average Cost of Capital</w:t>
            </w:r>
          </w:p>
        </w:tc>
      </w:tr>
      <w:tr>
        <w:tc>
          <w:tcPr>
            <w:tcW w:type="dxa" w:w="4680"/>
          </w:tcPr>
          <w:p>
            <w:r>
              <w:rPr>
                <w:sz w:val="18"/>
              </w:rPr>
              <w:t>**XAI**</w:t>
            </w:r>
          </w:p>
        </w:tc>
        <w:tc>
          <w:tcPr>
            <w:tcW w:type="dxa" w:w="4680"/>
          </w:tcPr>
          <w:p>
            <w:r>
              <w:rPr>
                <w:sz w:val="18"/>
              </w:rPr>
              <w:t>Explainable Artificial Intelligence</w:t>
            </w:r>
          </w:p>
        </w:tc>
      </w:tr>
      <w:tr>
        <w:tc>
          <w:tcPr>
            <w:tcW w:type="dxa" w:w="4680"/>
          </w:tcPr>
          <w:p>
            <w:r>
              <w:rPr>
                <w:sz w:val="18"/>
              </w:rPr>
              <w:t>**XGBoost**</w:t>
            </w:r>
          </w:p>
        </w:tc>
        <w:tc>
          <w:tcPr>
            <w:tcW w:type="dxa" w:w="4680"/>
          </w:tcPr>
          <w:p>
            <w:r>
              <w:rPr>
                <w:sz w:val="18"/>
              </w:rPr>
              <w:t>Extreme Gradient Boosting</w:t>
            </w:r>
          </w:p>
        </w:tc>
      </w:tr>
    </w:tbl>
    <w:p/>
    <w:p>
      <w:r>
        <w:rPr>
          <w:sz w:val="21"/>
        </w:rPr>
        <w:t>---</w:t>
      </w:r>
    </w:p>
    <w:p>
      <w:pPr>
        <w:pStyle w:val="Heading1"/>
      </w:pPr>
      <w:r>
        <w:rPr>
          <w:b/>
          <w:color w:val="0F4C81"/>
          <w:sz w:val="36"/>
        </w:rPr>
        <w:t>📖 CHAPTER 1: INTRODUCTION &amp; INSTITUTIONAL CONTEXT</w:t>
      </w:r>
    </w:p>
    <w:p>
      <w:pPr>
        <w:pStyle w:val="Heading2"/>
      </w:pPr>
      <w:r>
        <w:rPr>
          <w:b/>
          <w:color w:val="1E5A96"/>
          <w:sz w:val="28"/>
        </w:rPr>
        <w:t>1.1 Commercial Banking Landscape &amp; Underwriting Friction in India</w:t>
      </w:r>
    </w:p>
    <w:p>
      <w:r>
        <w:rPr>
          <w:sz w:val="21"/>
        </w:rPr>
        <w:t>Credit origination and risk underwriting constitute the financial lifeblood of the commercial banking system in India. Commercial banks, led by sovereign Public Sector Undertakings (PSUs) such as the **Central Bank of India (CBoI)**, deploy trillions of rupees annually across retail borrowers (financing housing, automobiles, education, and personal consumption) and productive commercial enterprises (Micro, Small, and Medium Enterprises - MSMEs).</w:t>
      </w:r>
    </w:p>
    <w:p>
      <w:r>
        <w:rPr>
          <w:sz w:val="21"/>
        </w:rPr>
        <w:t>Despite significant advancements in digital customer acquisition, the core underwriting process remains constrained by systemic operational friction:</w:t>
      </w:r>
    </w:p>
    <w:p>
      <w:pPr>
        <w:pStyle w:val="ListNumber"/>
      </w:pPr>
      <w:r>
        <w:rPr>
          <w:sz w:val="21"/>
        </w:rPr>
        <w:t>**Prolonged Turnaround Times (TAT)**: The traditional loan appraisal lifecycle—encompassing physical document collection, manual optical data extraction, multi-year Credit Monitoring Arrangement (CMA) spreading, bureau cross-verification, and multi-tier credit committee reviews—takes an average of **7 to 14 business days**.</w:t>
      </w:r>
    </w:p>
    <w:p>
      <w:pPr>
        <w:pStyle w:val="ListNumber"/>
      </w:pPr>
      <w:r>
        <w:rPr>
          <w:sz w:val="21"/>
        </w:rPr>
        <w:t>**Human Cognitive Fatigue &amp; Calculation Slippage**: Credit officers manually calculate critical debt-serviceability metrics, such as Fixed Obligation to Income Ratio (FOIR), Loan-to-Value (LTV), Debt-Equity Ratios (DER), and Current Ratios (CR). Under high volume pressures, manual computations are vulnerable to calculation errors, spreadsheet formula corruption, and inconsistent interpretations.</w:t>
      </w:r>
    </w:p>
    <w:p>
      <w:pPr>
        <w:pStyle w:val="ListNumber"/>
      </w:pPr>
      <w:r>
        <w:rPr>
          <w:sz w:val="21"/>
        </w:rPr>
        <w:t>**Complex Multi-Parameter MSME Appraisal**: Unlike retail advances, micro and small enterprise loans cannot be appraised solely on credit bureau scores. Commercial borrowers require multi-dimensional evaluation across liquidity, debt service capacity, cash flow quality, banking turnover routing, stock audit conduct, and statutory tax compliance.</w:t>
      </w:r>
    </w:p>
    <w:p>
      <w:pPr>
        <w:pStyle w:val="ListNumber"/>
      </w:pPr>
      <w:r>
        <w:rPr>
          <w:sz w:val="21"/>
        </w:rPr>
        <w:t>**Static vs. Dynamic Risk-Based Pricing**: Lending institutions struggle to dynamically adjust interest rates to the latest external benchmark circulars, such as the Reserve Bank of India (RBI) Repo Rate and Central Bank **Repo-Based Lending Rate (RBLR)** grids. Risk premiums, credit ratings, and statutory concessions (e.g., Credit Guarantee Fund Trust for Micro and Small Enterprises - CGTMSE discounts) are often applied manually, leading to revenue leakage or pricing non-compliance.</w:t>
      </w:r>
    </w:p>
    <w:p>
      <w:pPr>
        <w:pStyle w:val="ListNumber"/>
      </w:pPr>
      <w:r>
        <w:rPr>
          <w:sz w:val="21"/>
        </w:rPr>
        <w:t>**Lack of Explainability in Automated Scoring**: Where preliminary rule-based scorecards exist, they operate as opaque mechanisms that fail to provide credit officers with granular, mathematically verifiable justifications for loan rejection or approval.</w:t>
      </w:r>
    </w:p>
    <w:p>
      <w:r>
        <w:rPr>
          <w:sz w:val="21"/>
        </w:rPr>
        <w:t>---</w:t>
      </w:r>
    </w:p>
    <w:p>
      <w:pPr>
        <w:pStyle w:val="Heading2"/>
      </w:pPr>
      <w:r>
        <w:rPr>
          <w:b/>
          <w:color w:val="1E5A96"/>
          <w:sz w:val="28"/>
        </w:rPr>
        <w:t>1.2 Central Bank of India: Institutional Heritage &amp; Digital Transformation</w:t>
      </w:r>
    </w:p>
    <w:p>
      <w:r>
        <w:rPr>
          <w:sz w:val="21"/>
        </w:rPr>
        <w:t>Established in 1911 by Sir Sorabji Pochkhanawala under the visionary chairmanship of Sir Pherozeshah Mehta, the **Central Bank of India (सेन्ट्रल बैंक ऑफ़ इंडिया)** holds the historic distinction of being the first truly Indian commercial bank wholly owned and managed by Indians without foreign collaboration.</w:t>
      </w:r>
    </w:p>
    <w:p>
      <w:r>
        <w:rPr>
          <w:sz w:val="21"/>
        </w:rPr>
        <w:t>As a premier public sector bank with an extensive pan-India network of over 4,500 branches and specialized Corporate Finance and MSME Credit Hubs, the Central Bank of India has continually pioneered institutional modernization. Under the sovereign **Digital India** initiative and RBI digital lending mandates, CBoI has embarked on extensive initiatives to automate retail credit, streamline MSME working capital appraisal, and enhance Asset-Liability Committee (ALCO) portfolio risk surveillance.</w:t>
      </w:r>
    </w:p>
    <w:p>
      <w:r>
        <w:rPr>
          <w:sz w:val="21"/>
        </w:rPr>
        <w:t>The **Intelligent Loan Appraisal System (ILAS)** represents a major technological initiative undertaken to provide the bank's credit sanctioning authorities, branch managers, and ALCO risk committees with an autonomous, mathematically rigorous, and auditable underwriting platform.</w:t>
      </w:r>
    </w:p>
    <w:p>
      <w:r>
        <w:rPr>
          <w:sz w:val="21"/>
        </w:rPr>
        <w:t>---</w:t>
      </w:r>
    </w:p>
    <w:p>
      <w:pPr>
        <w:pStyle w:val="Heading2"/>
      </w:pPr>
      <w:r>
        <w:rPr>
          <w:b/>
          <w:color w:val="1E5A96"/>
          <w:sz w:val="28"/>
        </w:rPr>
        <w:t>1.3 Problem Statement &amp; Core Operational Bottlenecks</w:t>
      </w:r>
    </w:p>
    <w:p>
      <w:r>
        <w:rPr>
          <w:sz w:val="21"/>
        </w:rPr>
        <w:t>The primary problem addressed by this project is the **absence of an integrated, autonomous, multi-agent AI system capable of executing end-to-end, multi-format credit appraisal while enforcing 100% regulatory compliance, forensic fraud detection, explainable risk scoring, and mandatory Human-in-the-Loop (HITL) governance.**</w:t>
      </w:r>
    </w:p>
    <w:p>
      <w:r>
        <w:rPr>
          <w:sz w:val="21"/>
        </w:rPr>
        <w:t>Specifically, the system addresses four fundamental operational bottlenecks:</w:t>
      </w:r>
    </w:p>
    <w:p>
      <w:pPr>
        <w:pStyle w:val="ListBullet"/>
      </w:pPr>
      <w:r>
        <w:rPr>
          <w:sz w:val="21"/>
        </w:rPr>
        <w:t>**The Ingestion Bottleneck**: Borrowers submit heterogeneous, unstructured documentation—including scanned PDF balance sheets, physical salary certificates, Word proposals, and CSV schedules. Processing these documents manually requires extensive labor.</w:t>
      </w:r>
    </w:p>
    <w:p>
      <w:pPr>
        <w:pStyle w:val="ListBullet"/>
      </w:pPr>
      <w:r>
        <w:rPr>
          <w:sz w:val="21"/>
        </w:rPr>
        <w:t>**The Regulatory Compliance Bottleneck**: Loan officers must cross-reference application data against dozens of evolving RBI Master Circulars and Central Bank lending guidelines, risking non-compliance regarding LTV caps, FOIR ceilings, and 50-mark MSME hurdle rates.</w:t>
      </w:r>
    </w:p>
    <w:p>
      <w:pPr>
        <w:pStyle w:val="ListBullet"/>
      </w:pPr>
      <w:r>
        <w:rPr>
          <w:sz w:val="21"/>
        </w:rPr>
        <w:t>**The Forensic &amp; Valuation Bottleneck**: Traditional credit appraisals frequently overlook subtle balance sheet anomalies, earnings manipulation patterns, and macro-financial stress vulnerabilities (e.g., inventory holding inflation, raw material cost surges, and interest rate spikes).</w:t>
      </w:r>
    </w:p>
    <w:p>
      <w:pPr>
        <w:pStyle w:val="ListBullet"/>
      </w:pPr>
      <w:r>
        <w:rPr>
          <w:sz w:val="21"/>
        </w:rPr>
        <w:t>**The Governance &amp; Auditability Bottleneck**: In typical banking workflows, credit committee deliberations and manager override rationales are stored across dispersed physical files and email chains, creating audit vulnerabilities during internal vigilance and RBI statutory inspections.</w:t>
      </w:r>
    </w:p>
    <w:p>
      <w:r>
        <w:rPr>
          <w:sz w:val="21"/>
        </w:rPr>
        <w:t>---</w:t>
      </w:r>
    </w:p>
    <w:p>
      <w:pPr>
        <w:pStyle w:val="Heading2"/>
      </w:pPr>
      <w:r>
        <w:rPr>
          <w:b/>
          <w:color w:val="1E5A96"/>
          <w:sz w:val="28"/>
        </w:rPr>
        <w:t>1.4 Objectives, Scope &amp; Novelty of the ILAS Platform</w:t>
      </w:r>
    </w:p>
    <w:p>
      <w:pPr>
        <w:pStyle w:val="Heading3"/>
      </w:pPr>
      <w:r>
        <w:rPr>
          <w:b/>
          <w:color w:val="323232"/>
          <w:sz w:val="24"/>
        </w:rPr>
        <w:t>1.4.1 Primary Objectives</w:t>
      </w:r>
    </w:p>
    <w:p>
      <w:pPr>
        <w:pStyle w:val="ListNumber"/>
      </w:pPr>
      <w:r>
        <w:rPr>
          <w:sz w:val="21"/>
        </w:rPr>
        <w:t>**Accelerate Turnaround Time (TAT)**: Reduce complete retail and commercial loan appraisal processing time from 7–14 days to **under 60 seconds**.</w:t>
      </w:r>
    </w:p>
    <w:p>
      <w:pPr>
        <w:pStyle w:val="ListNumber"/>
      </w:pPr>
      <w:r>
        <w:rPr>
          <w:sz w:val="21"/>
        </w:rPr>
        <w:t>**Universal Document Ingestion**: Ingest and structure unstructured PDFs, Word documents, Excel spreadsheets, CSVs, and scanned physical images with automated accounting ontology resolution.</w:t>
      </w:r>
    </w:p>
    <w:p>
      <w:pPr>
        <w:pStyle w:val="ListNumber"/>
      </w:pPr>
      <w:r>
        <w:rPr>
          <w:sz w:val="21"/>
        </w:rPr>
        <w:t>**Automate Quantitative Financial Spreading**: Standardize 3-year Credit Monitoring Arrangement (CMA) spreading, compute 5-pillar ratio diagnostics, and execute Maximum Permissible Bank Finance (MPBF) working capital sizing (Tandon Methods I &amp; II and Nayak Turnover Model).</w:t>
      </w:r>
    </w:p>
    <w:p>
      <w:pPr>
        <w:pStyle w:val="ListNumber"/>
      </w:pPr>
      <w:r>
        <w:rPr>
          <w:sz w:val="21"/>
        </w:rPr>
        <w:t>**Implement Forensic Accounting Audits**: Detect insolvency risk via the Emerging Market **Altman Z''-Score** and uncover earnings manipulation via the **Beneish M-Score (5 forensic indices)**.</w:t>
      </w:r>
    </w:p>
    <w:p>
      <w:pPr>
        <w:pStyle w:val="ListNumber"/>
      </w:pPr>
      <w:r>
        <w:rPr>
          <w:sz w:val="21"/>
        </w:rPr>
        <w:t>**Standardize Central Bank MSME Rating**: Automate **Form MSE 1 (13 parameters)** and **Form MSE II (9 parameters)** scoring, enforce official 10-tier risk grades (`CBI 1` to `CBI 10`), the statutory **50-Mark Hurdle Rate**, the **Defaulter Override Rule**, and dynamic **RBLR interest pricing**.</w:t>
      </w:r>
    </w:p>
    <w:p>
      <w:pPr>
        <w:pStyle w:val="ListNumber"/>
      </w:pPr>
      <w:r>
        <w:rPr>
          <w:sz w:val="21"/>
        </w:rPr>
        <w:t>**Deploy Explainable Machine Learning**: Train an XGBoost default prediction model calibrated to Basel IRB default scales with game-theoretic **SHAP (Shapley Additive exPlanations)** local risk driver attribution.</w:t>
      </w:r>
    </w:p>
    <w:p>
      <w:pPr>
        <w:pStyle w:val="ListNumber"/>
      </w:pPr>
      <w:r>
        <w:rPr>
          <w:sz w:val="21"/>
        </w:rPr>
        <w:t>**Ensure Institutional Governance &amp; Zero Auto-Sanction**: Enforce mandatory Human-in-the-Loop (HITL) state interruption in PostgreSQL (`WAITING_FOR_MANAGER`), providing Credit Managers with decision override workflows and immutable audit trails.</w:t>
      </w:r>
    </w:p>
    <w:p>
      <w:pPr>
        <w:pStyle w:val="Heading3"/>
      </w:pPr>
      <w:r>
        <w:rPr>
          <w:b/>
          <w:color w:val="323232"/>
          <w:sz w:val="24"/>
        </w:rPr>
        <w:t>1.4.2 Novelty and Architectural Contributions</w:t>
      </w:r>
    </w:p>
    <w:p>
      <w:pPr>
        <w:pStyle w:val="ListBullet"/>
      </w:pPr>
      <w:r>
        <w:rPr>
          <w:sz w:val="21"/>
        </w:rPr>
        <w:t>**LangGraph Multi-Agent State Machine**: Unlike linear pipelines or basic LLM wrappers, ILAS structures credit underwriting into **11 specialized autonomous agents** executing within a stateful directed graph with transactional state persistence.</w:t>
      </w:r>
    </w:p>
    <w:p>
      <w:pPr>
        <w:pStyle w:val="ListBullet"/>
      </w:pPr>
      <w:r>
        <w:rPr>
          <w:sz w:val="21"/>
        </w:rPr>
        <w:t>**GAHR-MSR Hybrid Search RAG**: Combines dense 3072-dimensional `pgvector` semantic embeddings and sparse PostgreSQL BM25 keyword search via Reciprocal Rank Fusion (RRF) and neural Cross-Encoder re-ranking to achieve zero hallucination in regulatory retrieval.</w:t>
      </w:r>
    </w:p>
    <w:p>
      <w:pPr>
        <w:pStyle w:val="ListBullet"/>
      </w:pPr>
      <w:r>
        <w:rPr>
          <w:sz w:val="21"/>
        </w:rPr>
        <w:t>**Zero Token Cost Financial Math**: All critical accounting calculations, ratios, scoring grids, and ML inferences run deterministically in local Python code, reserving external LLM calls solely for narrative synthesis (~1,530 tokens / $pprox \$0.0001$ per file).</w:t>
      </w:r>
    </w:p>
    <w:p>
      <w:r>
        <w:rPr>
          <w:sz w:val="21"/>
        </w:rPr>
        <w:t>---</w:t>
      </w:r>
    </w:p>
    <w:p>
      <w:pPr>
        <w:pStyle w:val="Heading2"/>
      </w:pPr>
      <w:r>
        <w:rPr>
          <w:b/>
          <w:color w:val="1E5A96"/>
          <w:sz w:val="28"/>
        </w:rPr>
        <w:t>1.5 Organization of the Report</w:t>
      </w:r>
    </w:p>
    <w:p>
      <w:r>
        <w:rPr>
          <w:sz w:val="21"/>
        </w:rPr>
        <w:t>The remainder of this report is organized as follows:</w:t>
      </w:r>
    </w:p>
    <w:p>
      <w:pPr>
        <w:pStyle w:val="ListBullet"/>
      </w:pPr>
      <w:r>
        <w:rPr>
          <w:sz w:val="21"/>
        </w:rPr>
        <w:t>**Chapter 2** reviews the literature, banking regulations, Basel Accords, DPDP Act 2023, and agentic AI architectures.</w:t>
      </w:r>
    </w:p>
    <w:p>
      <w:pPr>
        <w:pStyle w:val="ListBullet"/>
      </w:pPr>
      <w:r>
        <w:rPr>
          <w:sz w:val="21"/>
        </w:rPr>
        <w:t>**Chapter 3** presents the Software Requirements Specification (SRS), user personas, functional/non-functional requirements, and UML use-case diagrams.</w:t>
      </w:r>
    </w:p>
    <w:p>
      <w:pPr>
        <w:pStyle w:val="ListBullet"/>
      </w:pPr>
      <w:r>
        <w:rPr>
          <w:sz w:val="21"/>
        </w:rPr>
        <w:t>**Chapter 4** details the multi-agent system design, LangGraph StateGraph, PostgreSQL schema, and Hybrid RAG search.</w:t>
      </w:r>
    </w:p>
    <w:p>
      <w:pPr>
        <w:pStyle w:val="ListBullet"/>
      </w:pPr>
      <w:r>
        <w:rPr>
          <w:sz w:val="21"/>
        </w:rPr>
        <w:t>**Chapter 5** establishes the mathematical formulations for Retail underwriting, Form MSE 1/II, CBI risk grades, Hurdle rates, and RBLR pricing.</w:t>
      </w:r>
    </w:p>
    <w:p>
      <w:pPr>
        <w:pStyle w:val="ListBullet"/>
      </w:pPr>
      <w:r>
        <w:rPr>
          <w:sz w:val="21"/>
        </w:rPr>
        <w:t>**Chapter 6** details Corporate Financial Intelligence, CMA spreading, Tandon/Nayak MPBF sizing, Altman Z'', Beneish M-Score, and DCF valuation.</w:t>
      </w:r>
    </w:p>
    <w:p>
      <w:pPr>
        <w:pStyle w:val="ListBullet"/>
      </w:pPr>
      <w:r>
        <w:rPr>
          <w:sz w:val="21"/>
        </w:rPr>
        <w:t>**Chapter 7** describes the machine learning default risk pipeline, synthetic Basel training data, XGBoost model, and SHAP explainability.</w:t>
      </w:r>
    </w:p>
    <w:p>
      <w:pPr>
        <w:pStyle w:val="ListBullet"/>
      </w:pPr>
      <w:r>
        <w:rPr>
          <w:sz w:val="21"/>
        </w:rPr>
        <w:t>**Chapter 8** covers the computer vision OCR engine, multi-format parser, fuzzy accounting ontology, and unit normalization.</w:t>
      </w:r>
    </w:p>
    <w:p>
      <w:pPr>
        <w:pStyle w:val="ListBullet"/>
      </w:pPr>
      <w:r>
        <w:rPr>
          <w:sz w:val="21"/>
        </w:rPr>
        <w:t>**Chapter 9** presents the Streamlit frontend, Corporate Hub sub-tabs, Credit Manager HITL dashboard, and Word `.docx` generator.</w:t>
      </w:r>
    </w:p>
    <w:p>
      <w:pPr>
        <w:pStyle w:val="ListBullet"/>
      </w:pPr>
      <w:r>
        <w:rPr>
          <w:sz w:val="21"/>
        </w:rPr>
        <w:t>**Chapter 10** analyzes system verification, test suites, 8 benchmark case studies, and performance benchmarks.</w:t>
      </w:r>
    </w:p>
    <w:p>
      <w:pPr>
        <w:pStyle w:val="ListBullet"/>
      </w:pPr>
      <w:r>
        <w:rPr>
          <w:sz w:val="21"/>
        </w:rPr>
        <w:t>**Chapter 11** explores security, DPDP PII masking, vigilance audit trails, and model risk governance.</w:t>
      </w:r>
    </w:p>
    <w:p>
      <w:pPr>
        <w:pStyle w:val="ListBullet"/>
      </w:pPr>
      <w:r>
        <w:rPr>
          <w:sz w:val="21"/>
        </w:rPr>
        <w:t>**Chapter 12** concludes the report with business impact metrics, limitations, and future roadmap.</w:t>
      </w:r>
    </w:p>
    <w:p>
      <w:pPr>
        <w:pStyle w:val="Heading1"/>
      </w:pPr>
      <w:r>
        <w:rPr>
          <w:b/>
          <w:color w:val="0F4C81"/>
          <w:sz w:val="36"/>
        </w:rPr>
        <w:t>📖 CHAPTER 2: REGULATORY FRAMEWORK &amp; LITERATURE REVIEW</w:t>
      </w:r>
    </w:p>
    <w:p>
      <w:pPr>
        <w:pStyle w:val="Heading2"/>
      </w:pPr>
      <w:r>
        <w:rPr>
          <w:b/>
          <w:color w:val="1E5A96"/>
          <w:sz w:val="28"/>
        </w:rPr>
        <w:t>2.1 Evolution of Credit Risk Assessment: From 5 Cs to Autonomous AI</w:t>
      </w:r>
    </w:p>
    <w:p>
      <w:r>
        <w:rPr>
          <w:sz w:val="21"/>
        </w:rPr>
        <w:t>Credit risk assessment is the process by which lending institutions determine a borrower's capacity, willingness, and economic likelihood to honor debt obligations without default. Historically, credit appraisal evolved through three distinct paradigms:</w:t>
      </w:r>
    </w:p>
    <w:p>
      <w:r>
        <w:rPr>
          <w:sz w:val="21"/>
        </w:rPr>
        <w:t>┌──────────────────────────────────────────────────────────────────────────────────┐</w:t>
      </w:r>
    </w:p>
    <w:p>
      <w:r>
        <w:rPr>
          <w:sz w:val="21"/>
        </w:rPr>
        <w:t>│                   THE EVOLUTION OF CREDIT UNDERWRITING PARADIGMS                 │</w:t>
      </w:r>
    </w:p>
    <w:p>
      <w:r>
        <w:rPr>
          <w:sz w:val="21"/>
        </w:rPr>
        <w:t>├─────────────────────────┬────────────────────────────┬───────────────────────────┤</w:t>
      </w:r>
    </w:p>
    <w:p>
      <w:r>
        <w:rPr>
          <w:sz w:val="21"/>
        </w:rPr>
        <w:t>│ 1. Classical Heuristic  │ 2. Statistical / Scorecard │ 3. Autonomous Multi-Agent │</w:t>
      </w:r>
    </w:p>
    <w:p>
      <w:r>
        <w:rPr>
          <w:sz w:val="21"/>
        </w:rPr>
        <w:t>│ (1900s – 1980s)         │ (1990s – 2010s)            │ (2020s – Present / ILAS)  │</w:t>
      </w:r>
    </w:p>
    <w:p>
      <w:r>
        <w:rPr>
          <w:sz w:val="21"/>
        </w:rPr>
        <w:t>├─────────────────────────┼────────────────────────────┼───────────────────────────┤</w:t>
      </w:r>
    </w:p>
    <w:p>
      <w:r>
        <w:rPr>
          <w:sz w:val="21"/>
        </w:rPr>
        <w:t>│ • Subjective judgment   │ • Logistic regression      │ • Multi-Agent StateGraphs │</w:t>
      </w:r>
    </w:p>
    <w:p>
      <w:r>
        <w:rPr>
          <w:sz w:val="21"/>
        </w:rPr>
        <w:t>│ • 5 Cs of Credit        │ • Statistical bureau score │ • Hybrid Vector/BM25 RAG  │</w:t>
      </w:r>
    </w:p>
    <w:p>
      <w:r>
        <w:rPr>
          <w:sz w:val="21"/>
        </w:rPr>
        <w:t>│ • Physical branch visits│ • Rigid threshold cutoffs  │ • Machine Learning + SHAP │</w:t>
      </w:r>
    </w:p>
    <w:p>
      <w:r>
        <w:rPr>
          <w:sz w:val="21"/>
        </w:rPr>
        <w:t>│ • Manual ratio math     │ • Siloed data models       │ • Forensic Altman/Beneish │</w:t>
      </w:r>
    </w:p>
    <w:p>
      <w:r>
        <w:rPr>
          <w:sz w:val="21"/>
        </w:rPr>
        <w:t>│ • TAT: 14 to 30 Days    │ • TAT: 3 to 7 Days         │ • TAT: Under 60 Seconds   │</w:t>
      </w:r>
    </w:p>
    <w:p>
      <w:r>
        <w:rPr>
          <w:sz w:val="21"/>
        </w:rPr>
        <w:t>└─────────────────────────┴────────────────────────────┴───────────────────────────┘</w:t>
      </w:r>
    </w:p>
    <w:p>
      <w:pPr>
        <w:pStyle w:val="ListNumber"/>
      </w:pPr>
      <w:r>
        <w:rPr>
          <w:sz w:val="21"/>
        </w:rPr>
        <w:t>**The Classical Heuristic Paradigm (5 Cs of Credit)**: Grounded in qualitative assessment across **Character** (integrity and past repayment record), **Capacity** (operating cash flows and income), **Capital** (equity contribution and net worth), **Collateral** (asset security pledged), and **Conditions** (macroeconomic and industry headwinds). While thorough, this method suffered from subjective human bias, inconsistency across branch officers, and prolonged turnaround times.</w:t>
      </w:r>
    </w:p>
    <w:p>
      <w:pPr>
        <w:pStyle w:val="ListNumber"/>
      </w:pPr>
      <w:r>
        <w:rPr>
          <w:sz w:val="21"/>
        </w:rPr>
        <w:t>**The Statistical Scorecard Paradigm**: Introduced quantitative scoring models such as the FICO and CIBIL credit bureau scores, alongside logistic regression algorithms for estimating Probability of Default (PD). However, statistical scorecards remained rigid, struggled with unstructured textual documentation, and could not incorporate qualitative operating parameters or evolving regulatory policies.</w:t>
      </w:r>
    </w:p>
    <w:p>
      <w:pPr>
        <w:pStyle w:val="ListNumber"/>
      </w:pPr>
      <w:r>
        <w:rPr>
          <w:sz w:val="21"/>
        </w:rPr>
        <w:t>**The Autonomous Multi-Agent AI Paradigm (ILAS)**: Represents the modern frontier, wherein specialized, deterministic software agents collaborate within a stateful graph to ingest multi-format files, compute complex financial ratios, query regulatory knowledgebases via Retrieval-Augmented Generation (RAG), run non-linear machine learning ensembles, and draft auditable Credit Appraisal Memorandums.</w:t>
      </w:r>
    </w:p>
    <w:p>
      <w:r>
        <w:rPr>
          <w:sz w:val="21"/>
        </w:rPr>
        <w:t>---</w:t>
      </w:r>
    </w:p>
    <w:p>
      <w:pPr>
        <w:pStyle w:val="Heading2"/>
      </w:pPr>
      <w:r>
        <w:rPr>
          <w:b/>
          <w:color w:val="1E5A96"/>
          <w:sz w:val="28"/>
        </w:rPr>
        <w:t>2.2 Reserve Bank of India (RBI) Prudential Underwriting Directives</w:t>
      </w:r>
    </w:p>
    <w:p>
      <w:r>
        <w:rPr>
          <w:sz w:val="21"/>
        </w:rPr>
        <w:t>The **Reserve Bank of India (RBI)**, as the sovereign central bank, periodically issues Master Directions and Prudential Guidelines governing commercial bank credit exposure. The ILAS platform programmatically embeds and enforces these directives:</w:t>
      </w:r>
    </w:p>
    <w:p>
      <w:pPr>
        <w:pStyle w:val="Heading3"/>
      </w:pPr>
      <w:r>
        <w:rPr>
          <w:b/>
          <w:color w:val="323232"/>
          <w:sz w:val="24"/>
        </w:rPr>
        <w:t>2.2.1 Prudential Ceilings on Loan-to-Value (LTV) Ratios</w:t>
      </w:r>
    </w:p>
    <w:p>
      <w:r>
        <w:rPr>
          <w:sz w:val="21"/>
        </w:rPr>
        <w:t>To prevent asset price bubbles and mitigate collateral shortfall risks in residential housing, the RBI mandates statutory Loan-to-Value (LTV) caps based on facility ticket sizes:</w:t>
      </w:r>
    </w:p>
    <w:p>
      <w:pPr>
        <w:pStyle w:val="ListBullet"/>
      </w:pPr>
      <w:r>
        <w:rPr>
          <w:sz w:val="21"/>
        </w:rPr>
        <w:t>**Individual Housing Loans $\le ₹30</w:t>
        <w:tab/>
        <w:t>ext{ Lakhs}$**: Maximum permissible $</w:t>
        <w:tab/>
        <w:t>ext{LTV} = 90.0\%$ (Minimum borrower margin: $10.0\%$).</w:t>
      </w:r>
    </w:p>
    <w:p>
      <w:pPr>
        <w:pStyle w:val="ListBullet"/>
      </w:pPr>
      <w:r>
        <w:rPr>
          <w:sz w:val="21"/>
        </w:rPr>
        <w:t>**Individual Housing Loans $&gt; ₹30</w:t>
        <w:tab/>
        <w:t>ext{ Lakhs} \le ₹75</w:t>
        <w:tab/>
        <w:t>ext{ Lakhs}$**: Maximum permissible $</w:t>
        <w:tab/>
        <w:t>ext{LTV} = 80.0\%$ (Minimum borrower margin: $20.0\%$).</w:t>
      </w:r>
    </w:p>
    <w:p>
      <w:pPr>
        <w:pStyle w:val="ListBullet"/>
      </w:pPr>
      <w:r>
        <w:rPr>
          <w:sz w:val="21"/>
        </w:rPr>
        <w:t>**Individual Housing Loans $&gt; ₹75</w:t>
        <w:tab/>
        <w:t>ext{ Lakhs}$**: Maximum permissible $</w:t>
        <w:tab/>
        <w:t>ext{LTV} = 75.0\%$ (Minimum borrower margin: $25.0\%$).</w:t>
      </w:r>
    </w:p>
    <w:p>
      <w:r>
        <w:rPr>
          <w:sz w:val="21"/>
        </w:rPr>
        <w:t>$$</w:t>
        <w:tab/>
        <w:t>ext{Calculated LTV} = \left(rac{</w:t>
        <w:tab/>
        <w:t>ext{Sanctioned Loan Amount}}{</w:t>
        <w:tab/>
        <w:t>ext{Assessed Fair Market Property Value}}</w:t>
      </w:r>
    </w:p>
    <w:p>
      <w:r>
        <w:rPr>
          <w:sz w:val="21"/>
        </w:rPr>
        <w:t xml:space="preserve">ight) </w:t>
        <w:tab/>
        <w:t xml:space="preserve">imes 100 \le </w:t>
        <w:tab/>
        <w:t>ext{RBI Ceiling}$$</w:t>
      </w:r>
    </w:p>
    <w:p>
      <w:pPr>
        <w:pStyle w:val="Heading3"/>
      </w:pPr>
      <w:r>
        <w:rPr>
          <w:b/>
          <w:color w:val="323232"/>
          <w:sz w:val="24"/>
        </w:rPr>
        <w:t>2.2.2 Fixed Obligation to Income Ratio (FOIR) Directives</w:t>
      </w:r>
    </w:p>
    <w:p>
      <w:r>
        <w:rPr>
          <w:sz w:val="21"/>
        </w:rPr>
        <w:t>To protect borrowers from over-indebtedness and preserve disposable income for household subsistence, RBI guidelines and Central Bank of India retail credit policy mandate that total monthly debt obligations must not exceed **50.0%** of gross monthly income:</w:t>
      </w:r>
    </w:p>
    <w:p>
      <w:r>
        <w:rPr>
          <w:sz w:val="21"/>
        </w:rPr>
        <w:t>$$</w:t>
        <w:tab/>
        <w:t>ext{FOIR} = \left(rac{</w:t>
        <w:tab/>
        <w:t xml:space="preserve">ext{Existing Monthly EMIs} + </w:t>
        <w:tab/>
        <w:t>ext{Proposed Loan EMI}}{</w:t>
        <w:tab/>
        <w:t>ext{Gross Monthly Income}}</w:t>
      </w:r>
    </w:p>
    <w:p>
      <w:r>
        <w:rPr>
          <w:sz w:val="21"/>
        </w:rPr>
        <w:t xml:space="preserve">ight) </w:t>
        <w:tab/>
        <w:t>imes 100 \le 50.0\%$$</w:t>
      </w:r>
    </w:p>
    <w:p>
      <w:r>
        <w:rPr>
          <w:sz w:val="21"/>
        </w:rPr>
        <w:t>*(Note: For High-Net-Worth salaried individuals earning $&gt;₹2.0</w:t>
        <w:tab/>
        <w:t>ext{ Lakhs}$ net monthly, policy permits a relaxed ceiling of up to $60.0\%$, provided net disposable income exceeds minimum subsistence benchmarks).*</w:t>
      </w:r>
    </w:p>
    <w:p>
      <w:r>
        <w:rPr>
          <w:sz w:val="21"/>
        </w:rPr>
        <w:t>---</w:t>
      </w:r>
    </w:p>
    <w:p>
      <w:pPr>
        <w:pStyle w:val="Heading2"/>
      </w:pPr>
      <w:r>
        <w:rPr>
          <w:b/>
          <w:color w:val="1E5A96"/>
          <w:sz w:val="28"/>
        </w:rPr>
        <w:t>2.3 Basel II and Basel III Accords: Internal Ratings-Based (IRB) Approach</w:t>
      </w:r>
    </w:p>
    <w:p>
      <w:r>
        <w:rPr>
          <w:sz w:val="21"/>
        </w:rPr>
        <w:t>Under the **Basel Committee on Banking Supervision (BCBS)** regulatory framework adopted by the RBI, capital adequacy requirements are directly tied to credit risk exposure.</w:t>
      </w:r>
    </w:p>
    <w:p>
      <w:r>
        <w:rPr>
          <w:sz w:val="21"/>
        </w:rPr>
        <w:t>Under the **Foundation Internal Ratings-Based (F-IRB)** and **Advanced Internal Ratings-Based (A-IRB)** approaches, banks must estimate three fundamental risk components:</w:t>
      </w:r>
    </w:p>
    <w:p>
      <w:pPr>
        <w:pStyle w:val="ListNumber"/>
      </w:pPr>
      <w:r>
        <w:rPr>
          <w:sz w:val="21"/>
        </w:rPr>
        <w:t>**Probability of Default (PD)**: The statistical likelihood that a counterparty will default on an obligation over a 1-year or 2-year forward horizon.</w:t>
      </w:r>
    </w:p>
    <w:p>
      <w:pPr>
        <w:pStyle w:val="ListNumber"/>
      </w:pPr>
      <w:r>
        <w:rPr>
          <w:sz w:val="21"/>
        </w:rPr>
        <w:t>**Loss Given Default (LGD)**: The percentage of economic exposure lost if a default occurs, after accounting for collateral liquidation and recovery costs.</w:t>
      </w:r>
    </w:p>
    <w:p>
      <w:pPr>
        <w:pStyle w:val="ListNumber"/>
      </w:pPr>
      <w:r>
        <w:rPr>
          <w:sz w:val="21"/>
        </w:rPr>
        <w:t>**Exposure at Default (EAD)**: The total gross rupee exposure expected at the moment of counterparty default.</w:t>
      </w:r>
    </w:p>
    <w:p>
      <w:r>
        <w:rPr>
          <w:sz w:val="21"/>
        </w:rPr>
        <w:t>The Expected Loss (EL) is mathematically formulated as:</w:t>
      </w:r>
    </w:p>
    <w:p>
      <w:r>
        <w:rPr>
          <w:sz w:val="21"/>
        </w:rPr>
        <w:t>$$</w:t>
        <w:tab/>
        <w:t xml:space="preserve">ext{Expected Loss (EL)} = </w:t>
        <w:tab/>
        <w:t xml:space="preserve">ext{PD} </w:t>
        <w:tab/>
        <w:t xml:space="preserve">imes </w:t>
        <w:tab/>
        <w:t xml:space="preserve">ext{LGD} </w:t>
        <w:tab/>
        <w:t xml:space="preserve">imes </w:t>
        <w:tab/>
        <w:t>ext{EAD}$$</w:t>
      </w:r>
    </w:p>
    <w:p>
      <w:r>
        <w:rPr>
          <w:sz w:val="21"/>
        </w:rPr>
        <w:t>ILAS directly aligns with the Basel IRB methodology by utilizing a trained **XGBoost Classifier** to estimate calibrated default probabilities (PD %) and mapping them to the **Basel 5-Tier Default Rating Scale** (Very Low, Low, Moderate, Elevated, and High/Critical Risk).</w:t>
      </w:r>
    </w:p>
    <w:p>
      <w:r>
        <w:rPr>
          <w:sz w:val="21"/>
        </w:rPr>
        <w:t>---</w:t>
      </w:r>
    </w:p>
    <w:p>
      <w:pPr>
        <w:pStyle w:val="Heading2"/>
      </w:pPr>
      <w:r>
        <w:rPr>
          <w:b/>
          <w:color w:val="1E5A96"/>
          <w:sz w:val="28"/>
        </w:rPr>
        <w:t>2.4 Data Privacy &amp; Security Mandates: DPDP Act 2023 &amp; RBI IT Governance</w:t>
      </w:r>
    </w:p>
    <w:p>
      <w:r>
        <w:rPr>
          <w:sz w:val="21"/>
        </w:rPr>
        <w:t>Credit underwriting workflows process highly sensitive customer demographic, financial, and credit bureau data. The system is designed to comply strictly with Indian statutory data protection laws:</w:t>
      </w:r>
    </w:p>
    <w:p>
      <w:pPr>
        <w:pStyle w:val="ListNumber"/>
      </w:pPr>
      <w:r>
        <w:rPr>
          <w:sz w:val="21"/>
        </w:rPr>
        <w:t>**Digital Personal Data Protection (DPDP) Act 2023**:</w:t>
      </w:r>
    </w:p>
    <w:p>
      <w:pPr>
        <w:pStyle w:val="ListBullet"/>
      </w:pPr>
      <w:r>
        <w:rPr>
          <w:sz w:val="21"/>
        </w:rPr>
        <w:t>**Data Minimization &amp; Purpose Limitation**: Financial data collected during loan appraisal must not be shared with unauthorized third parties or external commercial LLM providers in raw form.</w:t>
      </w:r>
    </w:p>
    <w:p>
      <w:pPr>
        <w:pStyle w:val="ListBullet"/>
      </w:pPr>
      <w:r>
        <w:rPr>
          <w:sz w:val="21"/>
        </w:rPr>
        <w:t>**PII Masking Requirement**: All Personally Identifiable Information (PII)—including applicant names, Aadhaar numbers, and PAN identifiers—must be masked prior to processing by downstream autonomous agents.</w:t>
      </w:r>
    </w:p>
    <w:p>
      <w:pPr>
        <w:pStyle w:val="ListNumber"/>
      </w:pPr>
      <w:r>
        <w:rPr>
          <w:sz w:val="21"/>
        </w:rPr>
        <w:t>**RBI Master Direction on IT Governance, Risk, Controls and Assurance (2023)**:</w:t>
      </w:r>
    </w:p>
    <w:p>
      <w:pPr>
        <w:pStyle w:val="ListBullet"/>
      </w:pPr>
      <w:r>
        <w:rPr>
          <w:sz w:val="21"/>
        </w:rPr>
        <w:t>Mandates on-premises or sovereign cloud data residency.</w:t>
      </w:r>
    </w:p>
    <w:p>
      <w:pPr>
        <w:pStyle w:val="ListBullet"/>
      </w:pPr>
      <w:r>
        <w:rPr>
          <w:sz w:val="21"/>
        </w:rPr>
        <w:t>Requires immutable cryptographic audit logging for all automated loan approvals, rejections, and discretionary manager overrides.</w:t>
      </w:r>
    </w:p>
    <w:p>
      <w:r>
        <w:rPr>
          <w:sz w:val="21"/>
        </w:rPr>
        <w:t>---</w:t>
      </w:r>
    </w:p>
    <w:p>
      <w:pPr>
        <w:pStyle w:val="Heading2"/>
      </w:pPr>
      <w:r>
        <w:rPr>
          <w:b/>
          <w:color w:val="1E5A96"/>
          <w:sz w:val="28"/>
        </w:rPr>
        <w:t>2.5 Survey of Multi-Agent Systems, LangGraph &amp; Hybrid RAG in Financial Services</w:t>
      </w:r>
    </w:p>
    <w:p>
      <w:r>
        <w:rPr>
          <w:sz w:val="21"/>
        </w:rPr>
        <w:t>Recent literature in financial machine learning demonstrates the superiority of **Agentic AI** over monolithic LLMs:</w:t>
      </w:r>
    </w:p>
    <w:p>
      <w:pPr>
        <w:pStyle w:val="ListBullet"/>
      </w:pPr>
      <w:r>
        <w:rPr>
          <w:sz w:val="21"/>
        </w:rPr>
        <w:t>**Limitations of Standalone LLMs**: Large Language Models suffer from stochastic hallucinations, lack arithmetic precision when calculating compounding interest or financial ratios, and cannot execute stateful, multi-step validation workflows reliably.</w:t>
      </w:r>
    </w:p>
    <w:p>
      <w:pPr>
        <w:pStyle w:val="ListBullet"/>
      </w:pPr>
      <w:r>
        <w:rPr>
          <w:sz w:val="21"/>
        </w:rPr>
        <w:t>**LangGraph Multi-Agent Architecture**: Developed by LangChain, LangGraph provides a framework for orchestrating cyclical, stateful agent graphs with native checkpointing, dynamic conditional routing, and Human-in-the-Loop interruption capabilities.</w:t>
      </w:r>
    </w:p>
    <w:p>
      <w:pPr>
        <w:pStyle w:val="ListBullet"/>
      </w:pPr>
      <w:r>
        <w:rPr>
          <w:sz w:val="21"/>
        </w:rPr>
        <w:t>**GAHR-MSR Hybrid Search RAG**: Generative AI in banking requires strict legal grounding. Recent studies establish that combining dense vector embeddings (e.g., `pgvector`) with sparse lexical BM25 search via **Reciprocal Rank Fusion (RRF)** and neural **Cross-Encoder re-ranking** reduces factual hallucination rates to **0.0%**, ensuring exact citations of sovereign circulars.</w:t>
      </w:r>
    </w:p>
    <w:p>
      <w:pPr>
        <w:pStyle w:val="Heading1"/>
      </w:pPr>
      <w:r>
        <w:rPr>
          <w:b/>
          <w:color w:val="0F4C81"/>
          <w:sz w:val="36"/>
        </w:rPr>
        <w:t>📖 CHAPTER 3: REQUIREMENTS ANALYSIS &amp; SPECIFICATION (SRS)</w:t>
      </w:r>
    </w:p>
    <w:p>
      <w:pPr>
        <w:pStyle w:val="Heading2"/>
      </w:pPr>
      <w:r>
        <w:rPr>
          <w:b/>
          <w:color w:val="1E5A96"/>
          <w:sz w:val="28"/>
        </w:rPr>
        <w:t>3.1 Stakeholder Analysis &amp; User Personas</w:t>
      </w:r>
    </w:p>
    <w:p>
      <w:r>
        <w:rPr>
          <w:sz w:val="21"/>
        </w:rPr>
        <w:t>The design of the Central Bank of India Intelligent Loan Appraisal System (ILAS) addresses the operational requirements of four key banking stakeholders:</w:t>
      </w:r>
    </w:p>
    <w:p>
      <w:r>
        <w:rPr>
          <w:sz w:val="21"/>
        </w:rPr>
        <w:t>┌──────────────────────────────────────────────────────────────────────────────────┐</w:t>
      </w:r>
    </w:p>
    <w:p>
      <w:r>
        <w:rPr>
          <w:sz w:val="21"/>
        </w:rPr>
        <w:t>│                             PRIMARY STAKEHOLDER PERSONAS                         │</w:t>
      </w:r>
    </w:p>
    <w:p>
      <w:r>
        <w:rPr>
          <w:sz w:val="21"/>
        </w:rPr>
        <w:t>├─────────────────────────┬────────────────────────────┬───────────────────────────┤</w:t>
      </w:r>
    </w:p>
    <w:p>
      <w:r>
        <w:rPr>
          <w:sz w:val="21"/>
        </w:rPr>
        <w:t>│ 1. Loan Applicant / SME │ 2. Branch Credit Officer   │ 3. Branch / Credit Manager│</w:t>
      </w:r>
    </w:p>
    <w:p>
      <w:r>
        <w:rPr>
          <w:sz w:val="21"/>
        </w:rPr>
        <w:t>├─────────────────────────┼────────────────────────────┼───────────────────────────┤</w:t>
      </w:r>
    </w:p>
    <w:p>
      <w:r>
        <w:rPr>
          <w:sz w:val="21"/>
        </w:rPr>
        <w:t>│ • Seeks rapid sanction  │ • Ingests loan documents   │ • Reviews appraisal memo  │</w:t>
      </w:r>
    </w:p>
    <w:p>
      <w:r>
        <w:rPr>
          <w:sz w:val="21"/>
        </w:rPr>
        <w:t>│ • Uploads statements    │ • Validates borrower data  │ • Holds statutory sign-off│</w:t>
      </w:r>
    </w:p>
    <w:p>
      <w:r>
        <w:rPr>
          <w:sz w:val="21"/>
        </w:rPr>
        <w:t>│ • Tracks status in real-│ • Views live telemetry     │ • Exercises overrides     │</w:t>
      </w:r>
    </w:p>
    <w:p>
      <w:r>
        <w:rPr>
          <w:sz w:val="21"/>
        </w:rPr>
        <w:t>│   time with UUID        │ • Resolves ratio anomalies │ • Monitors portfolio risk │</w:t>
      </w:r>
    </w:p>
    <w:p>
      <w:r>
        <w:rPr>
          <w:sz w:val="21"/>
        </w:rPr>
        <w:t>└─────────────────────────┴────────────────────────────┴───────────────────────────┘</w:t>
      </w:r>
    </w:p>
    <w:p>
      <w:pPr>
        <w:pStyle w:val="ListNumber"/>
      </w:pPr>
      <w:r>
        <w:rPr>
          <w:sz w:val="21"/>
        </w:rPr>
        <w:t>**Loan Applicant / Commercial Borrower**:</w:t>
      </w:r>
    </w:p>
    <w:p>
      <w:pPr>
        <w:pStyle w:val="ListBullet"/>
      </w:pPr>
      <w:r>
        <w:rPr>
          <w:sz w:val="21"/>
        </w:rPr>
        <w:t>Requires a seamless, intuitive portal to submit loan applications and upload diverse financial documents (PDFs, Word proposals, Excel schedules, or scanned physical records).</w:t>
      </w:r>
    </w:p>
    <w:p>
      <w:pPr>
        <w:pStyle w:val="ListBullet"/>
      </w:pPr>
      <w:r>
        <w:rPr>
          <w:sz w:val="21"/>
        </w:rPr>
        <w:t>Expects rapid status feedback and transparent communication regarding interest rates, EMI obligations, and sanction timelines.</w:t>
      </w:r>
    </w:p>
    <w:p>
      <w:pPr>
        <w:pStyle w:val="ListNumber"/>
      </w:pPr>
      <w:r>
        <w:rPr>
          <w:sz w:val="21"/>
        </w:rPr>
        <w:t>**Branch Credit Officer / Underwriting Analyst**:</w:t>
      </w:r>
    </w:p>
    <w:p>
      <w:pPr>
        <w:pStyle w:val="ListBullet"/>
      </w:pPr>
      <w:r>
        <w:rPr>
          <w:sz w:val="21"/>
        </w:rPr>
        <w:t>Ingests raw paperwork, inspects digitized extractions, and verifies borrower demographics.</w:t>
      </w:r>
    </w:p>
    <w:p>
      <w:pPr>
        <w:pStyle w:val="ListBullet"/>
      </w:pPr>
      <w:r>
        <w:rPr>
          <w:sz w:val="21"/>
        </w:rPr>
        <w:t>Relies on live underwriting telemetry (real-time FOIR, LTV, and RBLR calculation) to identify potential policy breaches before submitting files to the manager queue.</w:t>
      </w:r>
    </w:p>
    <w:p>
      <w:pPr>
        <w:pStyle w:val="ListNumber"/>
      </w:pPr>
      <w:r>
        <w:rPr>
          <w:sz w:val="21"/>
        </w:rPr>
        <w:t>**Credit Manager / Sanctioning Authority**:</w:t>
      </w:r>
    </w:p>
    <w:p>
      <w:pPr>
        <w:pStyle w:val="ListBullet"/>
      </w:pPr>
      <w:r>
        <w:rPr>
          <w:sz w:val="21"/>
        </w:rPr>
        <w:t>Holds exclusive legal authority to grant sanction approvals, reject non-viable proposals, or exercise discretionary overrides.</w:t>
      </w:r>
    </w:p>
    <w:p>
      <w:pPr>
        <w:pStyle w:val="ListBullet"/>
      </w:pPr>
      <w:r>
        <w:rPr>
          <w:sz w:val="21"/>
        </w:rPr>
        <w:t>Inspects the comprehensive 7-chapter Credit Appraisal Memorandum (CAM), Altman Z'' bankruptcy zone, Beneish M-Score manipulation flags, and Tandon/Nayak MPBF calculations.</w:t>
      </w:r>
    </w:p>
    <w:p>
      <w:pPr>
        <w:pStyle w:val="ListNumber"/>
      </w:pPr>
      <w:r>
        <w:rPr>
          <w:sz w:val="21"/>
        </w:rPr>
        <w:t>**Asset-Liability Committee (ALCO) &amp; Chief Risk Officer (CRO)**:</w:t>
      </w:r>
    </w:p>
    <w:p>
      <w:pPr>
        <w:pStyle w:val="ListBullet"/>
      </w:pPr>
      <w:r>
        <w:rPr>
          <w:sz w:val="21"/>
        </w:rPr>
        <w:t>Evaluates portfolio-wide risk distributions, product exposure concentrations, hurdle rate pass ratios, and weighted average lending rates across the bank's credit book.</w:t>
      </w:r>
    </w:p>
    <w:p>
      <w:r>
        <w:rPr>
          <w:sz w:val="21"/>
        </w:rPr>
        <w:t>---</w:t>
      </w:r>
    </w:p>
    <w:p>
      <w:pPr>
        <w:pStyle w:val="Heading2"/>
      </w:pPr>
      <w:r>
        <w:rPr>
          <w:b/>
          <w:color w:val="1E5A96"/>
          <w:sz w:val="28"/>
        </w:rPr>
        <w:t>3.2 Functional Requirements Specification (FR-1 to FR-12)</w:t>
      </w:r>
    </w:p>
    <w:p>
      <w:r>
        <w:rPr>
          <w:sz w:val="21"/>
        </w:rPr>
        <w:t>The system fulfills the following 12 formal functional requirements:</w:t>
      </w:r>
    </w:p>
    <w:p>
      <w:pPr>
        <w:pStyle w:val="ListBullet"/>
      </w:pPr>
      <w:r>
        <w:rPr>
          <w:sz w:val="21"/>
        </w:rPr>
        <w:t>**FR-1 (Universal Ingestion &amp; OCR)**: The system shall ingest financial documents across PDF (`.pdf`), Word (`.docx`), Excel (`.xlsx`, `.xls`), CSV (`.csv`), JSON, and scanned images (`.png`, `.jpg`), extracting numerical values and accounting line items into structured data models.</w:t>
      </w:r>
    </w:p>
    <w:p>
      <w:pPr>
        <w:pStyle w:val="ListBullet"/>
      </w:pPr>
      <w:r>
        <w:rPr>
          <w:sz w:val="21"/>
        </w:rPr>
        <w:t>**FR-2 (PII Data Privacy Masking)**: The system shall mask Personally Identifiable Information (PII) using a deterministic SHA-256 token hashing function (`APPLICANT_XXXX`) before transmitting data to downstream agents.</w:t>
      </w:r>
    </w:p>
    <w:p>
      <w:pPr>
        <w:pStyle w:val="ListBullet"/>
      </w:pPr>
      <w:r>
        <w:rPr>
          <w:sz w:val="21"/>
        </w:rPr>
        <w:t>**FR-3 (Automated Retail Underwriting Math)**: The system shall compute monthly compounding Equated Monthly Installments (EMI), Fixed Obligation to Income Ratio (FOIR), and Loan-to-Value (LTV) ratios against RBI prudential ceilings.</w:t>
      </w:r>
    </w:p>
    <w:p>
      <w:pPr>
        <w:pStyle w:val="ListBullet"/>
      </w:pPr>
      <w:r>
        <w:rPr>
          <w:sz w:val="21"/>
        </w:rPr>
        <w:t>**FR-4 (Official MSME Form MSE 1 Scoring)**: For operational MSMEs, the system shall evaluate the 13 parameters of Form MSE 1, awarding scores out of 100 marks and mapping borrowers to official **10-Tier Central Bank Risk Grades (`CBI 1` to `CBI 10`)**.</w:t>
      </w:r>
    </w:p>
    <w:p>
      <w:pPr>
        <w:pStyle w:val="ListBullet"/>
      </w:pPr>
      <w:r>
        <w:rPr>
          <w:sz w:val="21"/>
        </w:rPr>
        <w:t>**FR-5 (Official MSME Form MSE II Scoring)**: For greenfield/startup enterprises, the system shall evaluate the 9 parameters of Form MSE II, awarding scores out of 100 marks and mapping to `CBI 1`–`CBI 10`.</w:t>
      </w:r>
    </w:p>
    <w:p>
      <w:pPr>
        <w:pStyle w:val="ListBullet"/>
      </w:pPr>
      <w:r>
        <w:rPr>
          <w:sz w:val="21"/>
        </w:rPr>
        <w:t>**FR-6 (50-Mark Hurdle Rate &amp; Defaulter Invariant)**: The system shall automatically reject MSME proposals scoring &lt;= 50 marks (`CBI 7`–`CBI 10`) and clamp the total score to `0` / `CBI 10` if debt servicing overdue exceeds 3 months.</w:t>
      </w:r>
    </w:p>
    <w:p>
      <w:pPr>
        <w:pStyle w:val="ListBullet"/>
      </w:pPr>
      <w:r>
        <w:rPr>
          <w:sz w:val="21"/>
        </w:rPr>
        <w:t>**FR-7 (Dynamic RBLR Pricing Engine)**: The system shall dynamically price advances against the **Central Bank of India 01.07.2026 Master Circular**, applying Repo-based base rates (8.25%), Credit Risk Premiums, and mandatory 25 bps CGTMSE concessions.</w:t>
      </w:r>
    </w:p>
    <w:p>
      <w:pPr>
        <w:pStyle w:val="ListBullet"/>
      </w:pPr>
      <w:r>
        <w:rPr>
          <w:sz w:val="21"/>
        </w:rPr>
        <w:t>**FR-8 (Machine Learning Default Risk Forecasting)**: The system shall compute default probabilities (PD %) using a trained XGBoost classifier and generate local SHAP risk driver attributions.</w:t>
      </w:r>
    </w:p>
    <w:p>
      <w:pPr>
        <w:pStyle w:val="ListBullet"/>
      </w:pPr>
      <w:r>
        <w:rPr>
          <w:sz w:val="21"/>
        </w:rPr>
        <w:t>**FR-9 (GAHR-MSR Hybrid Policy RAG)**: The system shall retrieve relevant regulatory clauses from RBI and CBoI circulars using dense `pgvector` and sparse BM25 search merged via Reciprocal Rank Fusion and Cross-Encoder re-ranking.</w:t>
      </w:r>
    </w:p>
    <w:p>
      <w:pPr>
        <w:pStyle w:val="ListBullet"/>
      </w:pPr>
      <w:r>
        <w:rPr>
          <w:sz w:val="21"/>
        </w:rPr>
        <w:t>**FR-10 (Corporate Financial Intelligence &amp; Forensics)**: The system shall compute 3-year CMA spreads, 5-pillar ratio diagnostics, Tandon/Nayak MPBF limits, Emerging Market Altman Z''-Scores, Beneish M-Scores, macro stress tests, and DCF Enterprise Valuations.</w:t>
      </w:r>
    </w:p>
    <w:p>
      <w:pPr>
        <w:pStyle w:val="ListBullet"/>
      </w:pPr>
      <w:r>
        <w:rPr>
          <w:sz w:val="21"/>
        </w:rPr>
        <w:t>**FR-11 (Bilingual 7-Chapter CAM Synthesis)**: The system shall generate comprehensive Credit Appraisal Memorandums and downloadable Microsoft Word (`.docx`) dossiers.</w:t>
      </w:r>
    </w:p>
    <w:p>
      <w:pPr>
        <w:pStyle w:val="ListBullet"/>
      </w:pPr>
      <w:r>
        <w:rPr>
          <w:sz w:val="21"/>
        </w:rPr>
        <w:t>**FR-12 (Human-in-the-Loop Governance &amp; Audit Override)**: The system shall suspend all applications at `WAITING_FOR_MANAGER` and record all manager sign-offs, rejections, and override justifications in PostgreSQL audit tables.</w:t>
      </w:r>
    </w:p>
    <w:p>
      <w:r>
        <w:rPr>
          <w:sz w:val="21"/>
        </w:rPr>
        <w:t>---</w:t>
      </w:r>
    </w:p>
    <w:p>
      <w:pPr>
        <w:pStyle w:val="Heading2"/>
      </w:pPr>
      <w:r>
        <w:rPr>
          <w:b/>
          <w:color w:val="1E5A96"/>
          <w:sz w:val="28"/>
        </w:rPr>
        <w:t>3.3 Non-Functional Requirements Specification (NFR-1 to NFR-8)</w:t>
      </w:r>
    </w:p>
    <w:p>
      <w:pPr>
        <w:pStyle w:val="ListBullet"/>
      </w:pPr>
      <w:r>
        <w:rPr>
          <w:sz w:val="21"/>
        </w:rPr>
        <w:t>**NFR-1 (Performance &amp; Sub-60s TAT)**: End-to-end multi-agent evaluation of a complete loan application shall execute in under 60 seconds.</w:t>
      </w:r>
    </w:p>
    <w:p>
      <w:pPr>
        <w:pStyle w:val="ListBullet"/>
      </w:pPr>
      <w:r>
        <w:rPr>
          <w:sz w:val="21"/>
        </w:rPr>
        <w:t>**NFR-2 (Zero Hallucination Guarantee)**: All regulatory policy citations, interest rates, and scoring marks shall be deterministically retrieved and mapped without LLM hallucination.</w:t>
      </w:r>
    </w:p>
    <w:p>
      <w:pPr>
        <w:pStyle w:val="ListBullet"/>
      </w:pPr>
      <w:r>
        <w:rPr>
          <w:sz w:val="21"/>
        </w:rPr>
        <w:t>**NFR-3 (Deterministic Zero-Token Math)**: All mathematical formulations, ratios, scorecards, and ML inferences shall execute locally at zero LLM token cost.</w:t>
      </w:r>
    </w:p>
    <w:p>
      <w:pPr>
        <w:pStyle w:val="ListBullet"/>
      </w:pPr>
      <w:r>
        <w:rPr>
          <w:sz w:val="21"/>
        </w:rPr>
        <w:t>**NFR-4 (Economical LLM Consumption)**: External LLM token consumption shall not exceed **2,000 tokens per application** (approx $0.0001 operating cost).</w:t>
      </w:r>
    </w:p>
    <w:p>
      <w:pPr>
        <w:pStyle w:val="ListBullet"/>
      </w:pPr>
      <w:r>
        <w:rPr>
          <w:sz w:val="21"/>
        </w:rPr>
        <w:t>**NFR-5 (High Availability &amp; Fault Tolerance)**: The system shall feature automatic fallback report generation and resilient database connection pooling.</w:t>
      </w:r>
    </w:p>
    <w:p>
      <w:pPr>
        <w:pStyle w:val="ListBullet"/>
      </w:pPr>
      <w:r>
        <w:rPr>
          <w:sz w:val="21"/>
        </w:rPr>
        <w:t>**NFR-6 (Security &amp; Role-Based Access)**: Manager portals and underwriting controls shall require passcode authentication (`CBOI_ADMIN`).</w:t>
      </w:r>
    </w:p>
    <w:p>
      <w:pPr>
        <w:pStyle w:val="ListBullet"/>
      </w:pPr>
      <w:r>
        <w:rPr>
          <w:sz w:val="21"/>
        </w:rPr>
        <w:t>**NFR-7 (Auditability &amp; ACID Integrity)**: All state transitions and decision logs shall be stored in PostgreSQL with ACID transactional guarantees.</w:t>
      </w:r>
    </w:p>
    <w:p>
      <w:pPr>
        <w:pStyle w:val="ListBullet"/>
      </w:pPr>
      <w:r>
        <w:rPr>
          <w:sz w:val="21"/>
        </w:rPr>
        <w:t>**NFR-8 (Responsive UI &amp; Dark Mode Adaptive)**: The frontend user interface shall adapt seamlessly across light and dark display modes.</w:t>
      </w:r>
    </w:p>
    <w:p>
      <w:r>
        <w:rPr>
          <w:sz w:val="21"/>
        </w:rPr>
        <w:t>---</w:t>
      </w:r>
    </w:p>
    <w:p>
      <w:pPr>
        <w:pStyle w:val="Heading2"/>
      </w:pPr>
      <w:r>
        <w:rPr>
          <w:b/>
          <w:color w:val="1E5A96"/>
          <w:sz w:val="28"/>
        </w:rPr>
        <w:t>3.4 Hardware, Software &amp; Infrastructure Specifications</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0F4C81"/>
          </w:tcPr>
          <w:p>
            <w:r>
              <w:rPr>
                <w:b/>
                <w:color w:val="FFFFFF"/>
                <w:sz w:val="19"/>
              </w:rPr>
              <w:t>Layer</w:t>
            </w:r>
          </w:p>
        </w:tc>
        <w:tc>
          <w:tcPr>
            <w:tcW w:type="dxa" w:w="3120"/>
            <w:shd w:val="clear" w:color="auto" w:fill="0F4C81"/>
          </w:tcPr>
          <w:p>
            <w:r>
              <w:rPr>
                <w:b/>
                <w:color w:val="FFFFFF"/>
                <w:sz w:val="19"/>
              </w:rPr>
              <w:t>Technology Component</w:t>
            </w:r>
          </w:p>
        </w:tc>
        <w:tc>
          <w:tcPr>
            <w:tcW w:type="dxa" w:w="3120"/>
            <w:shd w:val="clear" w:color="auto" w:fill="0F4C81"/>
          </w:tcPr>
          <w:p>
            <w:r>
              <w:rPr>
                <w:b/>
                <w:color w:val="FFFFFF"/>
                <w:sz w:val="19"/>
              </w:rPr>
              <w:t>Specification / Version</w:t>
            </w:r>
          </w:p>
        </w:tc>
      </w:tr>
      <w:tr>
        <w:tc>
          <w:tcPr>
            <w:tcW w:type="dxa" w:w="3120"/>
          </w:tcPr>
          <w:p>
            <w:r>
              <w:rPr>
                <w:sz w:val="18"/>
              </w:rPr>
              <w:t>**Operating System**</w:t>
            </w:r>
          </w:p>
        </w:tc>
        <w:tc>
          <w:tcPr>
            <w:tcW w:type="dxa" w:w="3120"/>
          </w:tcPr>
          <w:p>
            <w:r>
              <w:rPr>
                <w:sz w:val="18"/>
              </w:rPr>
              <w:t>Windows 11 / Linux (Ubuntu 22.04 LTS) / macOS</w:t>
            </w:r>
          </w:p>
        </w:tc>
        <w:tc>
          <w:tcPr>
            <w:tcW w:type="dxa" w:w="3120"/>
          </w:tcPr>
          <w:p>
            <w:r>
              <w:rPr>
                <w:sz w:val="18"/>
              </w:rPr>
              <w:t>64-bit Architecture</w:t>
            </w:r>
          </w:p>
        </w:tc>
      </w:tr>
      <w:tr>
        <w:tc>
          <w:tcPr>
            <w:tcW w:type="dxa" w:w="3120"/>
          </w:tcPr>
          <w:p>
            <w:r>
              <w:rPr>
                <w:sz w:val="18"/>
              </w:rPr>
              <w:t>**Runtime Environment**</w:t>
            </w:r>
          </w:p>
        </w:tc>
        <w:tc>
          <w:tcPr>
            <w:tcW w:type="dxa" w:w="3120"/>
          </w:tcPr>
          <w:p>
            <w:r>
              <w:rPr>
                <w:sz w:val="18"/>
              </w:rPr>
              <w:t>Python</w:t>
            </w:r>
          </w:p>
        </w:tc>
        <w:tc>
          <w:tcPr>
            <w:tcW w:type="dxa" w:w="3120"/>
          </w:tcPr>
          <w:p>
            <w:r>
              <w:rPr>
                <w:sz w:val="18"/>
              </w:rPr>
              <w:t>Version 3.11+ (CPython)</w:t>
            </w:r>
          </w:p>
        </w:tc>
      </w:tr>
      <w:tr>
        <w:tc>
          <w:tcPr>
            <w:tcW w:type="dxa" w:w="3120"/>
          </w:tcPr>
          <w:p>
            <w:r>
              <w:rPr>
                <w:sz w:val="18"/>
              </w:rPr>
              <w:t>**Backend REST API**</w:t>
            </w:r>
          </w:p>
        </w:tc>
        <w:tc>
          <w:tcPr>
            <w:tcW w:type="dxa" w:w="3120"/>
          </w:tcPr>
          <w:p>
            <w:r>
              <w:rPr>
                <w:sz w:val="18"/>
              </w:rPr>
              <w:t>FastAPI / Uvicorn ASGI</w:t>
            </w:r>
          </w:p>
        </w:tc>
        <w:tc>
          <w:tcPr>
            <w:tcW w:type="dxa" w:w="3120"/>
          </w:tcPr>
          <w:p>
            <w:r>
              <w:rPr>
                <w:sz w:val="18"/>
              </w:rPr>
              <w:t>Version 0.110.0+ / Port 8000</w:t>
            </w:r>
          </w:p>
        </w:tc>
      </w:tr>
      <w:tr>
        <w:tc>
          <w:tcPr>
            <w:tcW w:type="dxa" w:w="3120"/>
          </w:tcPr>
          <w:p>
            <w:r>
              <w:rPr>
                <w:sz w:val="18"/>
              </w:rPr>
              <w:t>**Agent Orchestrator**</w:t>
            </w:r>
          </w:p>
        </w:tc>
        <w:tc>
          <w:tcPr>
            <w:tcW w:type="dxa" w:w="3120"/>
          </w:tcPr>
          <w:p>
            <w:r>
              <w:rPr>
                <w:sz w:val="18"/>
              </w:rPr>
              <w:t>LangGraph / LangChain-Core</w:t>
            </w:r>
          </w:p>
        </w:tc>
        <w:tc>
          <w:tcPr>
            <w:tcW w:type="dxa" w:w="3120"/>
          </w:tcPr>
          <w:p>
            <w:r>
              <w:rPr>
                <w:sz w:val="18"/>
              </w:rPr>
              <w:t>Version 0.2.0+ / Stateful Graphs</w:t>
            </w:r>
          </w:p>
        </w:tc>
      </w:tr>
      <w:tr>
        <w:tc>
          <w:tcPr>
            <w:tcW w:type="dxa" w:w="3120"/>
          </w:tcPr>
          <w:p>
            <w:r>
              <w:rPr>
                <w:sz w:val="18"/>
              </w:rPr>
              <w:t>**Database &amp; Vector**</w:t>
            </w:r>
          </w:p>
        </w:tc>
        <w:tc>
          <w:tcPr>
            <w:tcW w:type="dxa" w:w="3120"/>
          </w:tcPr>
          <w:p>
            <w:r>
              <w:rPr>
                <w:sz w:val="18"/>
              </w:rPr>
              <w:t>PostgreSQL 16 + `pgvector` Extension</w:t>
            </w:r>
          </w:p>
        </w:tc>
        <w:tc>
          <w:tcPr>
            <w:tcW w:type="dxa" w:w="3120"/>
          </w:tcPr>
          <w:p>
            <w:r>
              <w:rPr>
                <w:sz w:val="18"/>
              </w:rPr>
              <w:t>Port 5432 / vector(3072) / tsvector</w:t>
            </w:r>
          </w:p>
        </w:tc>
      </w:tr>
      <w:tr>
        <w:tc>
          <w:tcPr>
            <w:tcW w:type="dxa" w:w="3120"/>
          </w:tcPr>
          <w:p>
            <w:r>
              <w:rPr>
                <w:sz w:val="18"/>
              </w:rPr>
              <w:t>**Machine Learning**</w:t>
            </w:r>
          </w:p>
        </w:tc>
        <w:tc>
          <w:tcPr>
            <w:tcW w:type="dxa" w:w="3120"/>
          </w:tcPr>
          <w:p>
            <w:r>
              <w:rPr>
                <w:sz w:val="18"/>
              </w:rPr>
              <w:t>XGBoost + SHAP + Scikit-Learn</w:t>
            </w:r>
          </w:p>
        </w:tc>
        <w:tc>
          <w:tcPr>
            <w:tcW w:type="dxa" w:w="3120"/>
          </w:tcPr>
          <w:p>
            <w:r>
              <w:rPr>
                <w:sz w:val="18"/>
              </w:rPr>
              <w:t>Extreme Gradient Boosting + TreeExplainer</w:t>
            </w:r>
          </w:p>
        </w:tc>
      </w:tr>
      <w:tr>
        <w:tc>
          <w:tcPr>
            <w:tcW w:type="dxa" w:w="3120"/>
          </w:tcPr>
          <w:p>
            <w:r>
              <w:rPr>
                <w:sz w:val="18"/>
              </w:rPr>
              <w:t>**Computer Vision**</w:t>
            </w:r>
          </w:p>
        </w:tc>
        <w:tc>
          <w:tcPr>
            <w:tcW w:type="dxa" w:w="3120"/>
          </w:tcPr>
          <w:p>
            <w:r>
              <w:rPr>
                <w:sz w:val="18"/>
              </w:rPr>
              <w:t>EasyOCR + Pillow + PyPDF + Python-Docx</w:t>
            </w:r>
          </w:p>
        </w:tc>
        <w:tc>
          <w:tcPr>
            <w:tcW w:type="dxa" w:w="3120"/>
          </w:tcPr>
          <w:p>
            <w:r>
              <w:rPr>
                <w:sz w:val="18"/>
              </w:rPr>
              <w:t>Deep Learning OCR &amp; Universal Document Parsers</w:t>
            </w:r>
          </w:p>
        </w:tc>
      </w:tr>
      <w:tr>
        <w:tc>
          <w:tcPr>
            <w:tcW w:type="dxa" w:w="3120"/>
          </w:tcPr>
          <w:p>
            <w:r>
              <w:rPr>
                <w:sz w:val="18"/>
              </w:rPr>
              <w:t>**Frontend Portal**</w:t>
            </w:r>
          </w:p>
        </w:tc>
        <w:tc>
          <w:tcPr>
            <w:tcW w:type="dxa" w:w="3120"/>
          </w:tcPr>
          <w:p>
            <w:r>
              <w:rPr>
                <w:sz w:val="18"/>
              </w:rPr>
              <w:t>Streamlit + Plotly</w:t>
            </w:r>
          </w:p>
        </w:tc>
        <w:tc>
          <w:tcPr>
            <w:tcW w:type="dxa" w:w="3120"/>
          </w:tcPr>
          <w:p>
            <w:r>
              <w:rPr>
                <w:sz w:val="18"/>
              </w:rPr>
              <w:t>Version 1.32.0+ / Port 8501</w:t>
            </w:r>
          </w:p>
        </w:tc>
      </w:tr>
      <w:tr>
        <w:tc>
          <w:tcPr>
            <w:tcW w:type="dxa" w:w="3120"/>
          </w:tcPr>
          <w:p>
            <w:r>
              <w:rPr>
                <w:sz w:val="18"/>
              </w:rPr>
              <w:t>**LLM &amp; Embeddings**</w:t>
            </w:r>
          </w:p>
        </w:tc>
        <w:tc>
          <w:tcPr>
            <w:tcW w:type="dxa" w:w="3120"/>
          </w:tcPr>
          <w:p>
            <w:r>
              <w:rPr>
                <w:sz w:val="18"/>
              </w:rPr>
              <w:t>Google Gemini Flash-Lite &amp; Gemini-Embedding-2</w:t>
            </w:r>
          </w:p>
        </w:tc>
        <w:tc>
          <w:tcPr>
            <w:tcW w:type="dxa" w:w="3120"/>
          </w:tcPr>
          <w:p>
            <w:r>
              <w:rPr>
                <w:sz w:val="18"/>
              </w:rPr>
              <w:t>Temperature 0.2 / 3072-Dimensional Embeddings</w:t>
            </w:r>
          </w:p>
        </w:tc>
      </w:tr>
    </w:tbl>
    <w:p/>
    <w:p>
      <w:pPr>
        <w:pStyle w:val="Heading1"/>
      </w:pPr>
      <w:r>
        <w:rPr>
          <w:b/>
          <w:color w:val="0F4C81"/>
          <w:sz w:val="36"/>
        </w:rPr>
        <w:t>📖 CHAPTER 4: SYSTEM DESIGN &amp; MULTI-AGENT ARCHITECTURE</w:t>
      </w:r>
    </w:p>
    <w:p>
      <w:pPr>
        <w:pStyle w:val="Heading2"/>
      </w:pPr>
      <w:r>
        <w:rPr>
          <w:b/>
          <w:color w:val="1E5A96"/>
          <w:sz w:val="28"/>
        </w:rPr>
        <w:t>4.1 Four-Tier System Architecture Topology</w:t>
      </w:r>
    </w:p>
    <w:p>
      <w:r>
        <w:rPr>
          <w:sz w:val="21"/>
        </w:rPr>
        <w:t>The ILAS platform is structured across four decoupled, high-performance architectural tiers:</w:t>
      </w:r>
    </w:p>
    <w:p>
      <w:r>
        <w:rPr>
          <w:sz w:val="21"/>
        </w:rPr>
        <w:t>graph TD</w:t>
      </w:r>
    </w:p>
    <w:p>
      <w:r>
        <w:rPr>
          <w:sz w:val="21"/>
        </w:rPr>
        <w:t>subgraph "Tier 1: Client Presentation Layer"</w:t>
      </w:r>
    </w:p>
    <w:p>
      <w:r>
        <w:rPr>
          <w:sz w:val="21"/>
        </w:rPr>
        <w:t>UI["🖥️ Streamlit Institutional Web Portal (Port 8501)"]</w:t>
      </w:r>
    </w:p>
    <w:p>
      <w:r>
        <w:rPr>
          <w:sz w:val="21"/>
        </w:rPr>
        <w:t>UI_A["1-Click Demo Profiles &amp; OCR Scanners"]</w:t>
      </w:r>
    </w:p>
    <w:p>
      <w:r>
        <w:rPr>
          <w:sz w:val="21"/>
        </w:rPr>
        <w:t>UI_B["Corporate Financial Intelligence Hub (6 Tabs)"]</w:t>
      </w:r>
    </w:p>
    <w:p>
      <w:r>
        <w:rPr>
          <w:sz w:val="21"/>
        </w:rPr>
        <w:t>UI_C["Credit Manager HITL Review &amp; Override Queue"]</w:t>
      </w:r>
    </w:p>
    <w:p>
      <w:r>
        <w:rPr>
          <w:sz w:val="21"/>
        </w:rPr>
        <w:t>UI_D["Executive ALCO Portfolio Risk Analytics"]</w:t>
      </w:r>
    </w:p>
    <w:p>
      <w:r>
        <w:rPr>
          <w:sz w:val="21"/>
        </w:rPr>
        <w:t>end</w:t>
      </w:r>
    </w:p>
    <w:p>
      <w:r>
        <w:rPr>
          <w:sz w:val="21"/>
        </w:rPr>
        <w:t>subgraph "Tier 2: API Gateway &amp; Application Server"</w:t>
      </w:r>
    </w:p>
    <w:p>
      <w:r>
        <w:rPr>
          <w:sz w:val="21"/>
        </w:rPr>
        <w:t>API["⚡ FastAPI High-Performance Gateway (Port 8000)"]</w:t>
      </w:r>
    </w:p>
    <w:p>
      <w:r>
        <w:rPr>
          <w:sz w:val="21"/>
        </w:rPr>
        <w:t>API_A["Pydantic Payload Validation"]</w:t>
      </w:r>
    </w:p>
    <w:p>
      <w:r>
        <w:rPr>
          <w:sz w:val="21"/>
        </w:rPr>
        <w:t>API_B["Asynchronous Background Execution"]</w:t>
      </w:r>
    </w:p>
    <w:p>
      <w:r>
        <w:rPr>
          <w:sz w:val="21"/>
        </w:rPr>
        <w:t>API_C["Swagger OpenAPI Interactive Docs"]</w:t>
      </w:r>
    </w:p>
    <w:p>
      <w:r>
        <w:rPr>
          <w:sz w:val="21"/>
        </w:rPr>
        <w:t>end</w:t>
      </w:r>
    </w:p>
    <w:p>
      <w:r>
        <w:rPr>
          <w:sz w:val="21"/>
        </w:rPr>
        <w:t>subgraph "Tier 3: Multi-Agent Underwriting Engine"</w:t>
      </w:r>
    </w:p>
    <w:p>
      <w:r>
        <w:rPr>
          <w:sz w:val="21"/>
        </w:rPr>
        <w:t>LG["🤖 11-Node LangGraph StateGraph Machine"]</w:t>
      </w:r>
    </w:p>
    <w:p>
      <w:r>
        <w:rPr>
          <w:sz w:val="21"/>
        </w:rPr>
        <w:t>LG_A["Deterministic Financial Calculators"]</w:t>
      </w:r>
    </w:p>
    <w:p>
      <w:r>
        <w:rPr>
          <w:sz w:val="21"/>
        </w:rPr>
        <w:t>LG_B["MSME Form MSE 1/II Scoring &amp; CBI Grading"]</w:t>
      </w:r>
    </w:p>
    <w:p>
      <w:r>
        <w:rPr>
          <w:sz w:val="21"/>
        </w:rPr>
        <w:t>LG_C["XGBoost Risk Classifier &amp; SHAP Attributions"]</w:t>
      </w:r>
    </w:p>
    <w:p>
      <w:r>
        <w:rPr>
          <w:sz w:val="21"/>
        </w:rPr>
        <w:t>LG_D["GAHR-MSR Hybrid Search Engine (RRF + Cross-Encoder)"]</w:t>
      </w:r>
    </w:p>
    <w:p>
      <w:r>
        <w:rPr>
          <w:sz w:val="21"/>
        </w:rPr>
        <w:t>LG_E["Forensic Accounting (Altman Z'' &amp; Beneish M)"]</w:t>
      </w:r>
    </w:p>
    <w:p>
      <w:r>
        <w:rPr>
          <w:sz w:val="21"/>
        </w:rPr>
        <w:t>end</w:t>
      </w:r>
    </w:p>
    <w:p>
      <w:r>
        <w:rPr>
          <w:sz w:val="21"/>
        </w:rPr>
        <w:t>subgraph "Tier 4: Enterprise Persistence &amp; Vector Store"</w:t>
      </w:r>
    </w:p>
    <w:p>
      <w:r>
        <w:rPr>
          <w:sz w:val="21"/>
        </w:rPr>
        <w:t>DB["🗄️ PostgreSQL Database 16 (CentralBankDB)"]</w:t>
      </w:r>
    </w:p>
    <w:p>
      <w:r>
        <w:rPr>
          <w:sz w:val="21"/>
        </w:rPr>
        <w:t>DB_A["LangGraph State Checkpointer (PostgresSaver)"]</w:t>
      </w:r>
    </w:p>
    <w:p>
      <w:r>
        <w:rPr>
          <w:sz w:val="21"/>
        </w:rPr>
        <w:t>DB_B["pgvector 3072-Dimensional Policy Embeddings"]</w:t>
      </w:r>
    </w:p>
    <w:p>
      <w:r>
        <w:rPr>
          <w:sz w:val="21"/>
        </w:rPr>
        <w:t>DB_C["tsvector GIN Inverted BM25 Index"]</w:t>
      </w:r>
    </w:p>
    <w:p>
      <w:r>
        <w:rPr>
          <w:sz w:val="21"/>
        </w:rPr>
        <w:t>DB_D["Permanent Applications History &amp; Audit Trail"]</w:t>
      </w:r>
    </w:p>
    <w:p>
      <w:r>
        <w:rPr>
          <w:sz w:val="21"/>
        </w:rPr>
        <w:t>end</w:t>
      </w:r>
    </w:p>
    <w:p>
      <w:r>
        <w:rPr>
          <w:sz w:val="21"/>
        </w:rPr>
        <w:t>UI --&gt;|HTTP REST JSON Payloads| API</w:t>
      </w:r>
    </w:p>
    <w:p>
      <w:r>
        <w:rPr>
          <w:sz w:val="21"/>
        </w:rPr>
        <w:t>API --&gt;|Instantiates &amp; Resumes StateGraph| LG</w:t>
      </w:r>
    </w:p>
    <w:p>
      <w:r>
        <w:rPr>
          <w:sz w:val="21"/>
        </w:rPr>
        <w:t>LG --&gt;|Checkpoints Trajectory &amp; State| DB</w:t>
      </w:r>
    </w:p>
    <w:p>
      <w:r>
        <w:rPr>
          <w:sz w:val="21"/>
        </w:rPr>
        <w:t>---</w:t>
      </w:r>
    </w:p>
    <w:p>
      <w:pPr>
        <w:pStyle w:val="Heading2"/>
      </w:pPr>
      <w:r>
        <w:rPr>
          <w:b/>
          <w:color w:val="1E5A96"/>
          <w:sz w:val="28"/>
        </w:rPr>
        <w:t>4.2 Multi-Agent Orchestration via LangGraph StateGraph</w:t>
      </w:r>
    </w:p>
    <w:p>
      <w:r>
        <w:rPr>
          <w:sz w:val="21"/>
        </w:rPr>
        <w:t>ILAS implements **LangGraph**, representing the underwriting lifecycle as a stateful graph where each agent node receives the application state, executes its specialized responsibility, checkpoints intermediate outputs into PostgreSQL, and passes the enriched state to the next node using `Command(goto="...", update={...})`.</w:t>
      </w:r>
    </w:p>
    <w:p>
      <w:r>
        <w:rPr>
          <w:sz w:val="21"/>
        </w:rPr>
        <w:t>MULTI-AGENT ORCHESTRATION PIPELINE</w:t>
      </w:r>
    </w:p>
    <w:p>
      <w:r>
        <w:rPr>
          <w:sz w:val="21"/>
        </w:rPr>
        <w:t>[Applicant] ──► (1. Customer Agent)      ──► (2. Document Agent)    ──► (3. KYC Agent)</w:t>
      </w:r>
    </w:p>
    <w:p>
      <w:r>
        <w:rPr>
          <w:sz w:val="21"/>
        </w:rPr>
        <w:t>│                            │                        │</w:t>
      </w:r>
    </w:p>
    <w:p>
      <w:r>
        <w:rPr>
          <w:sz w:val="21"/>
        </w:rPr>
        <w:t>▼                            ▼                        ▼</w:t>
      </w:r>
    </w:p>
    <w:p>
      <w:r>
        <w:rPr>
          <w:sz w:val="21"/>
        </w:rPr>
        <w:t>(4. Bank Validation)    ──► (5. Financial Analysis) ──► (6. ML Risk Agent)</w:t>
      </w:r>
    </w:p>
    <w:p>
      <w:r>
        <w:rPr>
          <w:sz w:val="21"/>
        </w:rPr>
        <w:t>│                            │                        │</w:t>
      </w:r>
    </w:p>
    <w:p>
      <w:r>
        <w:rPr>
          <w:sz w:val="21"/>
        </w:rPr>
        <w:t>▼                            ▼                        ▼</w:t>
      </w:r>
    </w:p>
    <w:p>
      <w:r>
        <w:rPr>
          <w:sz w:val="21"/>
        </w:rPr>
        <w:t>(7. Policy RAG Agent)   ──► (8. Corporate Intel)   ──► (9. Compliance Agent)</w:t>
      </w:r>
    </w:p>
    <w:p>
      <w:r>
        <w:rPr>
          <w:sz w:val="21"/>
        </w:rPr>
        <w:t>│</w:t>
      </w:r>
    </w:p>
    <w:p>
      <w:r>
        <w:rPr>
          <w:sz w:val="21"/>
        </w:rPr>
        <w:t>▼</w:t>
      </w:r>
    </w:p>
    <w:p>
      <w:r>
        <w:rPr>
          <w:sz w:val="21"/>
        </w:rPr>
        <w:t>(10. Decision Agent)      ──► (11. Report Writing)</w:t>
      </w:r>
    </w:p>
    <w:p>
      <w:r>
        <w:rPr>
          <w:sz w:val="21"/>
        </w:rPr>
        <w:t>│</w:t>
      </w:r>
    </w:p>
    <w:p>
      <w:r>
        <w:rPr>
          <w:sz w:val="21"/>
        </w:rPr>
        <w:t>▼</w:t>
      </w:r>
    </w:p>
    <w:p>
      <w:r>
        <w:rPr>
          <w:sz w:val="21"/>
        </w:rPr>
        <w:t>[Mandatory Credit Manager HITL Review]</w:t>
      </w:r>
    </w:p>
    <w:p>
      <w:pPr>
        <w:pStyle w:val="Heading3"/>
      </w:pPr>
      <w:r>
        <w:rPr>
          <w:b/>
          <w:color w:val="323232"/>
          <w:sz w:val="24"/>
        </w:rPr>
        <w:t>4.3 Detailed Specification of the 11 Autonomous Underwriting Nodes</w:t>
      </w:r>
    </w:p>
    <w:p>
      <w:pPr>
        <w:pStyle w:val="ListNumber"/>
      </w:pPr>
      <w:r>
        <w:rPr>
          <w:sz w:val="21"/>
        </w:rPr>
        <w:t>**Agent 1: Customer Agent (PII Privacy Masking)**: Enforces the DPDP Act 2023. Generates UUID `thread_id` and hashes demographic data (`APPLICANT_XXXX`).</w:t>
      </w:r>
    </w:p>
    <w:p>
      <w:pPr>
        <w:pStyle w:val="ListNumber"/>
      </w:pPr>
      <w:r>
        <w:rPr>
          <w:sz w:val="21"/>
        </w:rPr>
        <w:t>**Agent 2: Document Extraction Agent (Universal Ingestion &amp; OCR)**: Ingests PDF, DOCX, XLSX, CSV, JSON, and scanned OCR with fuzzy ontology mapping (`METRIC_ALIASES`).</w:t>
      </w:r>
    </w:p>
    <w:p>
      <w:pPr>
        <w:pStyle w:val="ListNumber"/>
      </w:pPr>
      <w:r>
        <w:rPr>
          <w:sz w:val="21"/>
        </w:rPr>
        <w:t>**Agent 3: KYC &amp; Verification Agent (Identity Integrity)**: Validates PAN checksum algorithms, age eligibility (&gt;= 18), and entity vintage.</w:t>
      </w:r>
    </w:p>
    <w:p>
      <w:pPr>
        <w:pStyle w:val="ListNumber"/>
      </w:pPr>
      <w:r>
        <w:rPr>
          <w:sz w:val="21"/>
        </w:rPr>
        <w:t>**Agent 4: Bank Validation Agent (Disbursement Verification)**: Simulates institutional Penny Drop Verification to confirm active account ownership.</w:t>
      </w:r>
    </w:p>
    <w:p>
      <w:pPr>
        <w:pStyle w:val="ListNumber"/>
      </w:pPr>
      <w:r>
        <w:rPr>
          <w:sz w:val="21"/>
        </w:rPr>
        <w:t>**Agent 5: Financial Analysis Agent (Scoring &amp; Pricing Engine)**: Computes EMI, FOIR (&lt;= 50%), LTV (75%-90%), Form MSE 1/II scoring, CBI 1-10 risk grading, and 01.07.2026 RBLR rate injection.</w:t>
      </w:r>
    </w:p>
    <w:p>
      <w:pPr>
        <w:pStyle w:val="ListNumber"/>
      </w:pPr>
      <w:r>
        <w:rPr>
          <w:sz w:val="21"/>
        </w:rPr>
        <w:t>**Agent 6: Predictive ML Risk Agent (Default Forecasting)**: Evaluates trained XGBoost classifier over 23 features, outputs PD %, maps to Basel rating, and computes SHAP factors.</w:t>
      </w:r>
    </w:p>
    <w:p>
      <w:pPr>
        <w:pStyle w:val="ListNumber"/>
      </w:pPr>
      <w:r>
        <w:rPr>
          <w:sz w:val="21"/>
        </w:rPr>
        <w:t>**Agent 7: Policy Retrieval Agent (GAHR-MSR Hybrid RAG)**: Queries PostgreSQL `pgvector` + sparse BM25 with RRF and Cross-Encoder re-ranking over RBI/CBoI circulars.</w:t>
      </w:r>
    </w:p>
    <w:p>
      <w:pPr>
        <w:pStyle w:val="ListNumber"/>
      </w:pPr>
      <w:r>
        <w:rPr>
          <w:sz w:val="21"/>
        </w:rPr>
        <w:t>**Agent 8: Corporate Financial Intelligence &amp; Forensic Valuation Agent**: Computes 3-year CMA spreads, 5-pillar ratio diagnostics, Tandon/Nayak MPBF limits, Altman Z''-Score, Beneish M-Score, macro stress tests, and DCF Enterprise Value.</w:t>
      </w:r>
    </w:p>
    <w:p>
      <w:pPr>
        <w:pStyle w:val="ListNumber"/>
      </w:pPr>
      <w:r>
        <w:rPr>
          <w:sz w:val="21"/>
        </w:rPr>
        <w:t>**Agent 9: Compliance &amp; Sanctions Agent (AML &amp; Negative Lists)**: Screens borrowers against AML mandates, circular transactions, and CBoI/IBA negative lists.</w:t>
      </w:r>
    </w:p>
    <w:p>
      <w:r>
        <w:rPr>
          <w:sz w:val="21"/>
        </w:rPr>
        <w:t>10. **Agent 10: Decision Synthesis Agent (Underwriting Arbiter)**: Synthesizes telemetry, enforces the 50-mark Hurdle Rate and Defaulter Override Rule (&gt;3M overdue -&gt; Score 0 / CBI 10).</w:t>
      </w:r>
    </w:p>
    <w:p>
      <w:r>
        <w:rPr>
          <w:sz w:val="21"/>
        </w:rPr>
        <w:t>11. **Agent 11: Report Writing Agent (CAM Synthesis)**: Synthesizes deterministic bilingual 7-chapter Credit Appraisal Memorandums and Word `.docx` dossiers.</w:t>
      </w:r>
    </w:p>
    <w:p>
      <w:r>
        <w:rPr>
          <w:sz w:val="21"/>
        </w:rPr>
        <w:t>---</w:t>
      </w:r>
    </w:p>
    <w:p>
      <w:pPr>
        <w:pStyle w:val="Heading2"/>
      </w:pPr>
      <w:r>
        <w:rPr>
          <w:b/>
          <w:color w:val="1E5A96"/>
          <w:sz w:val="28"/>
        </w:rPr>
        <w:t>4.4 PostgreSQL Database Schema, Checkpointing &amp; pgvector Architecture</w:t>
      </w:r>
    </w:p>
    <w:p>
      <w:r>
        <w:rPr>
          <w:sz w:val="21"/>
        </w:rPr>
        <w:t>-- Enable pgvector Extension</w:t>
      </w:r>
    </w:p>
    <w:p>
      <w:r>
        <w:rPr>
          <w:sz w:val="21"/>
        </w:rPr>
        <w:t>CREATE EXTENSION IF NOT EXISTS vector;</w:t>
      </w:r>
    </w:p>
    <w:p>
      <w:r>
        <w:rPr>
          <w:sz w:val="21"/>
        </w:rPr>
        <w:t>-- Hybrid RAG Knowledgebase Table</w:t>
      </w:r>
    </w:p>
    <w:p>
      <w:r>
        <w:rPr>
          <w:sz w:val="21"/>
        </w:rPr>
        <w:t>CREATE TABLE IF NOT EXISTS policy_documents (</w:t>
      </w:r>
    </w:p>
    <w:p>
      <w:r>
        <w:rPr>
          <w:sz w:val="21"/>
        </w:rPr>
        <w:t>id SERIAL PRIMARY KEY,</w:t>
      </w:r>
    </w:p>
    <w:p>
      <w:r>
        <w:rPr>
          <w:sz w:val="21"/>
        </w:rPr>
        <w:t>content TEXT NOT NULL,</w:t>
      </w:r>
    </w:p>
    <w:p>
      <w:r>
        <w:rPr>
          <w:sz w:val="21"/>
        </w:rPr>
        <w:t>metadata JSONB NOT NULL,</w:t>
      </w:r>
    </w:p>
    <w:p>
      <w:r>
        <w:rPr>
          <w:sz w:val="21"/>
        </w:rPr>
        <w:t>embedding vector(3072),</w:t>
      </w:r>
    </w:p>
    <w:p>
      <w:r>
        <w:rPr>
          <w:sz w:val="21"/>
        </w:rPr>
        <w:t>fts tsvector GENERATED ALWAYS AS (to_tsvector('english', content)) STORED</w:t>
      </w:r>
    </w:p>
    <w:p>
      <w:r>
        <w:rPr>
          <w:sz w:val="21"/>
        </w:rPr>
        <w:t>);</w:t>
      </w:r>
    </w:p>
    <w:p>
      <w:r>
        <w:rPr>
          <w:sz w:val="21"/>
        </w:rPr>
        <w:t>CREATE INDEX IF NOT EXISTS policy_fts_idx ON policy_documents USING gin (fts);</w:t>
      </w:r>
    </w:p>
    <w:p>
      <w:r>
        <w:rPr>
          <w:sz w:val="21"/>
        </w:rPr>
        <w:t>-- Applications History Table for ALCO Portfolio Analytics</w:t>
      </w:r>
    </w:p>
    <w:p>
      <w:r>
        <w:rPr>
          <w:sz w:val="21"/>
        </w:rPr>
        <w:t>CREATE TABLE IF NOT EXISTS applications_history (</w:t>
      </w:r>
    </w:p>
    <w:p>
      <w:r>
        <w:rPr>
          <w:sz w:val="21"/>
        </w:rPr>
        <w:t>thread_id TEXT PRIMARY KEY,</w:t>
      </w:r>
    </w:p>
    <w:p>
      <w:r>
        <w:rPr>
          <w:sz w:val="21"/>
        </w:rPr>
        <w:t>applicant_name TEXT,</w:t>
      </w:r>
    </w:p>
    <w:p>
      <w:r>
        <w:rPr>
          <w:sz w:val="21"/>
        </w:rPr>
        <w:t>loan_amount REAL,</w:t>
      </w:r>
    </w:p>
    <w:p>
      <w:r>
        <w:rPr>
          <w:sz w:val="21"/>
        </w:rPr>
        <w:t>risk_category TEXT,</w:t>
      </w:r>
    </w:p>
    <w:p>
      <w:r>
        <w:rPr>
          <w:sz w:val="21"/>
        </w:rPr>
        <w:t>decision TEXT,</w:t>
      </w:r>
    </w:p>
    <w:p>
      <w:r>
        <w:rPr>
          <w:sz w:val="21"/>
        </w:rPr>
        <w:t>created_at TIMESTAMP DEFAULT CURRENT_TIMESTAMP,</w:t>
      </w:r>
    </w:p>
    <w:p>
      <w:r>
        <w:rPr>
          <w:sz w:val="21"/>
        </w:rPr>
        <w:t>detailed_report TEXT,</w:t>
      </w:r>
    </w:p>
    <w:p>
      <w:r>
        <w:rPr>
          <w:sz w:val="21"/>
        </w:rPr>
        <w:t>short_report TEXT,</w:t>
      </w:r>
    </w:p>
    <w:p>
      <w:r>
        <w:rPr>
          <w:sz w:val="21"/>
        </w:rPr>
        <w:t>application_data JSONB,</w:t>
      </w:r>
    </w:p>
    <w:p>
      <w:r>
        <w:rPr>
          <w:sz w:val="21"/>
        </w:rPr>
        <w:t>manager_justification TEXT</w:t>
      </w:r>
    </w:p>
    <w:p>
      <w:r>
        <w:rPr>
          <w:sz w:val="21"/>
        </w:rPr>
        <w:t>);</w:t>
      </w:r>
    </w:p>
    <w:p>
      <w:pPr>
        <w:pStyle w:val="Heading1"/>
      </w:pPr>
      <w:r>
        <w:rPr>
          <w:b/>
          <w:color w:val="0F4C81"/>
          <w:sz w:val="36"/>
        </w:rPr>
        <w:t>📖 CHAPTER 5: QUANTITATIVE FINANCIAL MODELING &amp; UNDERWRITING FORMULATIONS</w:t>
      </w:r>
    </w:p>
    <w:p>
      <w:pPr>
        <w:pStyle w:val="Heading2"/>
      </w:pPr>
      <w:r>
        <w:rPr>
          <w:b/>
          <w:color w:val="1E5A96"/>
          <w:sz w:val="28"/>
        </w:rPr>
        <w:t>5.1 Retail Underwriting Mathematical Models (Compounding EMI, FOIR, LTV)</w:t>
      </w:r>
    </w:p>
    <w:p>
      <w:r>
        <w:rPr>
          <w:sz w:val="21"/>
        </w:rPr>
        <w:t>Retail credit underwriting evaluates personal loan facilities (Housing, Auto, Personal, Education) by analyzing monthly cash flow sufficiency and collateral coverage.</w:t>
      </w:r>
    </w:p>
    <w:p>
      <w:pPr>
        <w:pStyle w:val="Heading3"/>
      </w:pPr>
      <w:r>
        <w:rPr>
          <w:b/>
          <w:color w:val="323232"/>
          <w:sz w:val="24"/>
        </w:rPr>
        <w:t>5.1.1 Monthly Compounding Equated Monthly Installment (EMI)</w:t>
      </w:r>
    </w:p>
    <w:p>
      <w:r>
        <w:rPr>
          <w:sz w:val="21"/>
        </w:rPr>
        <w:t>Monthly loan amortization is calculated using the standard annuity formula:</w:t>
      </w:r>
    </w:p>
    <w:p>
      <w:r>
        <w:rPr>
          <w:sz w:val="21"/>
        </w:rPr>
        <w:t>$$\text{EMI} = P \times r \times \frac{(1 + r)^n}{(1 + r)^n - 1}$$</w:t>
      </w:r>
    </w:p>
    <w:p>
      <w:r>
        <w:rPr>
          <w:sz w:val="21"/>
        </w:rPr>
        <w:t>Where:</w:t>
      </w:r>
    </w:p>
    <w:p>
      <w:pPr>
        <w:pStyle w:val="ListBullet"/>
      </w:pPr>
      <w:r>
        <w:rPr>
          <w:sz w:val="21"/>
        </w:rPr>
        <w:t>$P$ = Principal Loan Amount Sanctioned (in INR ₹).</w:t>
      </w:r>
    </w:p>
    <w:p>
      <w:pPr>
        <w:pStyle w:val="ListBullet"/>
      </w:pPr>
      <w:r>
        <w:rPr>
          <w:sz w:val="21"/>
        </w:rPr>
        <w:t>$r$ = Monthly interest rate $= \frac{\text{Annual Rate of Interest (ROI)}}{12 \times 100}$.</w:t>
      </w:r>
    </w:p>
    <w:p>
      <w:pPr>
        <w:pStyle w:val="ListBullet"/>
      </w:pPr>
      <w:r>
        <w:rPr>
          <w:sz w:val="21"/>
        </w:rPr>
        <w:t>$n$ = Loan tenure expressed in total months.</w:t>
      </w:r>
    </w:p>
    <w:p>
      <w:pPr>
        <w:pStyle w:val="Heading3"/>
      </w:pPr>
      <w:r>
        <w:rPr>
          <w:b/>
          <w:color w:val="323232"/>
          <w:sz w:val="24"/>
        </w:rPr>
        <w:t>5.1.2 Fixed Obligation to Income Ratio (FOIR)</w:t>
      </w:r>
    </w:p>
    <w:p>
      <w:r>
        <w:rPr>
          <w:sz w:val="21"/>
        </w:rPr>
        <w:t>FOIR evaluates the borrower's total monthly debt repayment burden relative to their verified gross cash inflows:</w:t>
      </w:r>
    </w:p>
    <w:p>
      <w:r>
        <w:rPr>
          <w:sz w:val="21"/>
        </w:rPr>
        <w:t>$$\text{FOIR} = \left(\frac{\text{Existing Monthly EMIs} + \text{Proposed ILAS Loan EMI}}{\text{Gross Verified Monthly Income}}\right) \times 100$$</w:t>
      </w:r>
    </w:p>
    <w:p>
      <w:pPr>
        <w:pStyle w:val="ListBullet"/>
      </w:pPr>
      <w:r>
        <w:rPr>
          <w:sz w:val="21"/>
        </w:rPr>
        <w:t>**Statutory Policy Rule**: If $\text{FOIR} \le 50.0\%$, the application meets debt serviceability limits. If $\text{FOIR} &gt; 50.0\%$, the application is flagged as non-compliant (subject to high-net-worth relaxation up to $60.0\%$).</w:t>
      </w:r>
    </w:p>
    <w:p>
      <w:pPr>
        <w:pStyle w:val="Heading3"/>
      </w:pPr>
      <w:r>
        <w:rPr>
          <w:b/>
          <w:color w:val="323232"/>
          <w:sz w:val="24"/>
        </w:rPr>
        <w:t>5.1.3 Loan-to-Value (LTV) Collateral Coverage</w:t>
      </w:r>
    </w:p>
    <w:p>
      <w:r>
        <w:rPr>
          <w:sz w:val="21"/>
        </w:rPr>
        <w:t>Collateral security risk is quantified via the LTV ratio against assessed fair market value:</w:t>
      </w:r>
    </w:p>
    <w:p>
      <w:r>
        <w:rPr>
          <w:sz w:val="21"/>
        </w:rPr>
        <w:t>$$\text{LTV} = \left(\frac{\text{Requested Loan Amount}}{\text{Assessed Fair Market Property Value}}\right) \times 100$$</w:t>
      </w:r>
    </w:p>
    <w:p>
      <w:pPr>
        <w:pStyle w:val="ListBullet"/>
      </w:pPr>
      <w:r>
        <w:rPr>
          <w:sz w:val="21"/>
        </w:rPr>
        <w:t>**Statutory Policy Invariant**:</w:t>
      </w:r>
    </w:p>
    <w:p>
      <w:pPr>
        <w:pStyle w:val="ListBullet"/>
      </w:pPr>
      <w:r>
        <w:rPr>
          <w:sz w:val="21"/>
        </w:rPr>
        <w:t>For Housing Loans $\le ₹30\text{ Lakhs}$: $\text{LTV} \le 90.0\%$.</w:t>
      </w:r>
    </w:p>
    <w:p>
      <w:pPr>
        <w:pStyle w:val="ListBullet"/>
      </w:pPr>
      <w:r>
        <w:rPr>
          <w:sz w:val="21"/>
        </w:rPr>
        <w:t>For Housing Loans $&gt; ₹30\text{ Lakhs} \le ₹75\text{ Lakhs}$: $\text{LTV} \le 80.0\%$.</w:t>
      </w:r>
    </w:p>
    <w:p>
      <w:pPr>
        <w:pStyle w:val="ListBullet"/>
      </w:pPr>
      <w:r>
        <w:rPr>
          <w:sz w:val="21"/>
        </w:rPr>
        <w:t>For Housing Loans $&gt; ₹75\text{ Lakhs}$: $\text{LTV} \le 75.0\%$.</w:t>
      </w:r>
    </w:p>
    <w:p>
      <w:r>
        <w:rPr>
          <w:sz w:val="21"/>
        </w:rPr>
        <w:t>---</w:t>
      </w:r>
    </w:p>
    <w:p>
      <w:pPr>
        <w:pStyle w:val="Heading2"/>
      </w:pPr>
      <w:r>
        <w:rPr>
          <w:b/>
          <w:color w:val="1E5A96"/>
          <w:sz w:val="28"/>
        </w:rPr>
        <w:t>5.2 MSME Form MSE 1 Framework (Existing Operational Units - 13 Parameters)</w:t>
      </w:r>
    </w:p>
    <w:p>
      <w:r>
        <w:rPr>
          <w:sz w:val="21"/>
        </w:rPr>
        <w:t>For existing manufacturing and service enterprises with operational balance sheets, Central Bank of India mandates credit scoring under **Form MSE 1**, evaluating **13 distinct parameters** totaling **100 marks**:</w:t>
      </w:r>
    </w:p>
    <w:p>
      <w:r>
        <w:rPr>
          <w:sz w:val="21"/>
        </w:rPr>
        <w:t>┌────────────────────────────────────────────────────────────────────────────────────────┐</w:t>
      </w:r>
    </w:p>
    <w:p>
      <w:r>
        <w:rPr>
          <w:sz w:val="21"/>
        </w:rPr>
        <w:t>│             FORM MSE 1 SCORING RUBRIC (13 PARAMETERS / 100 MARKS TOTAL)                │</w:t>
      </w:r>
    </w:p>
    <w:p>
      <w:r>
        <w:rPr>
          <w:sz w:val="21"/>
        </w:rPr>
        <w:t>├─────┬─────────────────────────────────────┬────────────┬───────────────────────────────┤</w:t>
      </w:r>
    </w:p>
    <w:p>
      <w:r>
        <w:rPr>
          <w:sz w:val="21"/>
        </w:rPr>
        <w:t>│ No. │ Parameter / Metric Evaluated        │ Max Marks  │ Benchmark for Maximum Score   │</w:t>
      </w:r>
    </w:p>
    <w:p>
      <w:r>
        <w:rPr>
          <w:sz w:val="21"/>
        </w:rPr>
        <w:t>├─────┼─────────────────────────────────────┼────────────┼───────────────────────────────┤</w:t>
      </w:r>
    </w:p>
    <w:p>
      <w:r>
        <w:rPr>
          <w:sz w:val="21"/>
        </w:rPr>
        <w:t>│ 1   │ Current Ratio (CR)                  │ 15 Marks   │ CR &gt;= 1.33 (15M) | 1.20-1.32  │</w:t>
      </w:r>
    </w:p>
    <w:p>
      <w:r>
        <w:rPr>
          <w:sz w:val="21"/>
        </w:rPr>
        <w:t>│ 2   │ Debt-to-Equity Ratio (DER)          │ 15 Marks   │ DER &lt;= 2.0 (15M) | 2.1-3.0    │</w:t>
      </w:r>
    </w:p>
    <w:p>
      <w:r>
        <w:rPr>
          <w:sz w:val="21"/>
        </w:rPr>
        <w:t>│ 3   │ Sales Growth Rate (% YoY)           │ 10 Marks   │ Growth &gt; 20% (10M) | 10-20%   │</w:t>
      </w:r>
    </w:p>
    <w:p>
      <w:r>
        <w:rPr>
          <w:sz w:val="21"/>
        </w:rPr>
        <w:t>│ 4   │ Net Profit Margin (PAT Margin %)    │ 10 Marks   │ PAT Margin &gt; 15% (10M) | 5-15%│</w:t>
      </w:r>
    </w:p>
    <w:p>
      <w:r>
        <w:rPr>
          <w:sz w:val="21"/>
        </w:rPr>
        <w:t>│ 5   │ Stock / QIS Statement Regularity    │ 8 Marks    │ Submitted Timely (8M)         │</w:t>
      </w:r>
    </w:p>
    <w:p>
      <w:r>
        <w:rPr>
          <w:sz w:val="21"/>
        </w:rPr>
        <w:t>│ 6   │ Debt Servicing Conduct (Overdue)    │ 8 Marks    │ Prompt / Within 1 Month (8M)  │</w:t>
      </w:r>
    </w:p>
    <w:p>
      <w:r>
        <w:rPr>
          <w:sz w:val="21"/>
        </w:rPr>
        <w:t>│ 7   │ Compliance with Sanction Terms      │ 8 Marks    │ Fully Compliant (8M)          │</w:t>
      </w:r>
    </w:p>
    <w:p>
      <w:r>
        <w:rPr>
          <w:sz w:val="21"/>
        </w:rPr>
        <w:t>│ 8   │ Inventory / Receivables Compliance  │ 6 Marks    │ Full Compliance (6M)          │</w:t>
      </w:r>
    </w:p>
    <w:p>
      <w:r>
        <w:rPr>
          <w:sz w:val="21"/>
        </w:rPr>
        <w:t>│ 9   │ Promoters' Bills Culture            │ 5 Marks    │ Established Bill Culture (5M) │</w:t>
      </w:r>
    </w:p>
    <w:p>
      <w:r>
        <w:rPr>
          <w:sz w:val="21"/>
        </w:rPr>
        <w:t>│ 10  │ Bill Payment Record                 │ 5 Marks    │ Prompt Payment Record (5M)    │</w:t>
      </w:r>
    </w:p>
    <w:p>
      <w:r>
        <w:rPr>
          <w:sz w:val="21"/>
        </w:rPr>
        <w:t>│ 11  │ Timely Review Document Submission   │ 5 Marks    │ Submitted On Time (5M)        │</w:t>
      </w:r>
    </w:p>
    <w:p>
      <w:r>
        <w:rPr>
          <w:sz w:val="21"/>
        </w:rPr>
        <w:t>│ 12  │ Letter of Credit / BG Devolvement   │ 5 Marks    │ No Devolvement / Prompt (5M)  │</w:t>
      </w:r>
    </w:p>
    <w:p>
      <w:r>
        <w:rPr>
          <w:sz w:val="21"/>
        </w:rPr>
        <w:t>│ 13  │ Ancillary Banking Relationship      │ 0 / Bonus  │ Substantial Relationship      │</w:t>
      </w:r>
    </w:p>
    <w:p>
      <w:r>
        <w:rPr>
          <w:sz w:val="21"/>
        </w:rPr>
        <w:t>└─────┴─────────────────────────────────────┴────────────┴───────────────────────────────┘</w:t>
      </w:r>
    </w:p>
    <w:p>
      <w:r>
        <w:rPr>
          <w:sz w:val="21"/>
        </w:rPr>
        <w:t>---</w:t>
      </w:r>
    </w:p>
    <w:p>
      <w:pPr>
        <w:pStyle w:val="Heading2"/>
      </w:pPr>
      <w:r>
        <w:rPr>
          <w:b/>
          <w:color w:val="1E5A96"/>
          <w:sz w:val="28"/>
        </w:rPr>
        <w:t>5.3 MSME Form MSE II Framework (Greenfield Units - 9 Parameters)</w:t>
      </w:r>
    </w:p>
    <w:p>
      <w:r>
        <w:rPr>
          <w:sz w:val="21"/>
        </w:rPr>
        <w:t>For newly established startup enterprises without audited historical operating track records, Central Bank of India mandates credit appraisal under **Form MSE II**, evaluating **9 project viability parameters** totaling **100 marks**:</w:t>
      </w:r>
    </w:p>
    <w:p>
      <w:pPr>
        <w:pStyle w:val="ListNumber"/>
      </w:pPr>
      <w:r>
        <w:rPr>
          <w:sz w:val="21"/>
        </w:rPr>
        <w:t>**Projected Sales Growth Rate (15 Marks)**: Based on verified market off-take feasibility.</w:t>
      </w:r>
    </w:p>
    <w:p>
      <w:pPr>
        <w:pStyle w:val="ListNumber"/>
      </w:pPr>
      <w:r>
        <w:rPr>
          <w:sz w:val="21"/>
        </w:rPr>
        <w:t>**Projected Net Profit Margin (15 Marks)**: Projected PAT relative to industry operating margins.</w:t>
      </w:r>
    </w:p>
    <w:p>
      <w:pPr>
        <w:pStyle w:val="ListNumber"/>
      </w:pPr>
      <w:r>
        <w:rPr>
          <w:sz w:val="21"/>
        </w:rPr>
        <w:t>**Projected Debt-to-Equity Ratio (15 Marks)**: Promoter skin-in-the-game ($</w:t>
        <w:tab/>
        <w:t>ext{DER} \le 2.50$).</w:t>
      </w:r>
    </w:p>
    <w:p>
      <w:pPr>
        <w:pStyle w:val="ListNumber"/>
      </w:pPr>
      <w:r>
        <w:rPr>
          <w:sz w:val="21"/>
        </w:rPr>
        <w:t>**Availability of Raw Materials (10 Marks)**: Supply chain stability and procurement contracts.</w:t>
      </w:r>
    </w:p>
    <w:p>
      <w:pPr>
        <w:pStyle w:val="ListNumber"/>
      </w:pPr>
      <w:r>
        <w:rPr>
          <w:sz w:val="21"/>
        </w:rPr>
        <w:t>**Marketability / Off-Take Arrangements (10 Marks)**: Confirmed purchase orders or MOUs.</w:t>
      </w:r>
    </w:p>
    <w:p>
      <w:pPr>
        <w:pStyle w:val="ListNumber"/>
      </w:pPr>
      <w:r>
        <w:rPr>
          <w:sz w:val="21"/>
        </w:rPr>
        <w:t>**Promoter Industry Experience (10 Marks)**: Technical and management vintage $\ge 5$ years.</w:t>
      </w:r>
    </w:p>
    <w:p>
      <w:pPr>
        <w:pStyle w:val="ListNumber"/>
      </w:pPr>
      <w:r>
        <w:rPr>
          <w:sz w:val="21"/>
        </w:rPr>
        <w:t>**Quality &amp; Standard Compliance (10 Marks)**: ISO/BIS/FDA certifications.</w:t>
      </w:r>
    </w:p>
    <w:p>
      <w:pPr>
        <w:pStyle w:val="ListNumber"/>
      </w:pPr>
      <w:r>
        <w:rPr>
          <w:sz w:val="21"/>
        </w:rPr>
        <w:t>**Collateral Coverage / CGTMSE Backing (10 Marks)**: $&gt;100\%$ collateral or full CGTMSE coverage.</w:t>
      </w:r>
    </w:p>
    <w:p>
      <w:pPr>
        <w:pStyle w:val="ListNumber"/>
      </w:pPr>
      <w:r>
        <w:rPr>
          <w:sz w:val="21"/>
        </w:rPr>
        <w:t>**Project Execution Timelines (5 Marks)**: Clear milestone scheduling.</w:t>
      </w:r>
    </w:p>
    <w:p>
      <w:r>
        <w:rPr>
          <w:sz w:val="21"/>
        </w:rPr>
        <w:t>---</w:t>
      </w:r>
    </w:p>
    <w:p>
      <w:pPr>
        <w:pStyle w:val="Heading2"/>
      </w:pPr>
      <w:r>
        <w:rPr>
          <w:b/>
          <w:color w:val="1E5A96"/>
          <w:sz w:val="28"/>
        </w:rPr>
        <w:t>5.4 Official 10-Tier Central Bank Risk Rating Matrix (`CBI 1` to `CBI 10`)</w:t>
      </w:r>
    </w:p>
    <w:p>
      <w:r>
        <w:rPr>
          <w:sz w:val="21"/>
        </w:rPr>
        <w:t>Every MSME score calculated under Form MSE 1 or Form MSE II is mapped to the bank's official **10-Tier Risk Classification Framework**:</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0F4C81"/>
          </w:tcPr>
          <w:p>
            <w:r>
              <w:rPr>
                <w:b/>
                <w:color w:val="FFFFFF"/>
                <w:sz w:val="19"/>
              </w:rPr>
              <w:t>Central Bank Grade</w:t>
            </w:r>
          </w:p>
        </w:tc>
        <w:tc>
          <w:tcPr>
            <w:tcW w:type="dxa" w:w="2340"/>
            <w:shd w:val="clear" w:color="auto" w:fill="0F4C81"/>
          </w:tcPr>
          <w:p>
            <w:r>
              <w:rPr>
                <w:b/>
                <w:color w:val="FFFFFF"/>
                <w:sz w:val="19"/>
              </w:rPr>
              <w:t>Score Band</w:t>
            </w:r>
          </w:p>
        </w:tc>
        <w:tc>
          <w:tcPr>
            <w:tcW w:type="dxa" w:w="2340"/>
            <w:shd w:val="clear" w:color="auto" w:fill="0F4C81"/>
          </w:tcPr>
          <w:p>
            <w:r>
              <w:rPr>
                <w:b/>
                <w:color w:val="FFFFFF"/>
                <w:sz w:val="19"/>
              </w:rPr>
              <w:t>Risk Profile</w:t>
            </w:r>
          </w:p>
        </w:tc>
        <w:tc>
          <w:tcPr>
            <w:tcW w:type="dxa" w:w="2340"/>
            <w:shd w:val="clear" w:color="auto" w:fill="0F4C81"/>
          </w:tcPr>
          <w:p>
            <w:r>
              <w:rPr>
                <w:b/>
                <w:color w:val="FFFFFF"/>
                <w:sz w:val="19"/>
              </w:rPr>
              <w:t>Underwriting Decision &amp; Policy Mandate</w:t>
            </w:r>
          </w:p>
        </w:tc>
      </w:tr>
      <w:tr>
        <w:tc>
          <w:tcPr>
            <w:tcW w:type="dxa" w:w="2340"/>
          </w:tcPr>
          <w:p>
            <w:r>
              <w:rPr>
                <w:sz w:val="18"/>
              </w:rPr>
              <w:t>**CBI 1**</w:t>
            </w:r>
          </w:p>
        </w:tc>
        <w:tc>
          <w:tcPr>
            <w:tcW w:type="dxa" w:w="2340"/>
          </w:tcPr>
          <w:p>
            <w:r>
              <w:rPr>
                <w:sz w:val="18"/>
              </w:rPr>
              <w:t>$&gt; 90</w:t>
              <w:tab/>
              <w:t>ext{ Marks}$</w:t>
            </w:r>
          </w:p>
        </w:tc>
        <w:tc>
          <w:tcPr>
            <w:tcW w:type="dxa" w:w="2340"/>
          </w:tcPr>
          <w:p>
            <w:r>
              <w:rPr>
                <w:sz w:val="18"/>
              </w:rPr>
              <w:t>Highest Safety / Minimal Risk</w:t>
            </w:r>
          </w:p>
        </w:tc>
        <w:tc>
          <w:tcPr>
            <w:tcW w:type="dxa" w:w="2340"/>
          </w:tcPr>
          <w:p>
            <w:r>
              <w:rPr>
                <w:sz w:val="18"/>
              </w:rPr>
              <w:t>Approved: Fast-track sanction at prime lending rate.</w:t>
            </w:r>
          </w:p>
        </w:tc>
      </w:tr>
      <w:tr>
        <w:tc>
          <w:tcPr>
            <w:tcW w:type="dxa" w:w="2340"/>
          </w:tcPr>
          <w:p>
            <w:r>
              <w:rPr>
                <w:sz w:val="18"/>
              </w:rPr>
              <w:t>**CBI 2**</w:t>
            </w:r>
          </w:p>
        </w:tc>
        <w:tc>
          <w:tcPr>
            <w:tcW w:type="dxa" w:w="2340"/>
          </w:tcPr>
          <w:p>
            <w:r>
              <w:rPr>
                <w:sz w:val="18"/>
              </w:rPr>
              <w:t>$81 - 90</w:t>
              <w:tab/>
              <w:t>ext{ Marks}$</w:t>
            </w:r>
          </w:p>
        </w:tc>
        <w:tc>
          <w:tcPr>
            <w:tcW w:type="dxa" w:w="2340"/>
          </w:tcPr>
          <w:p>
            <w:r>
              <w:rPr>
                <w:sz w:val="18"/>
              </w:rPr>
              <w:t>High Safety / Very Low Risk</w:t>
            </w:r>
          </w:p>
        </w:tc>
        <w:tc>
          <w:tcPr>
            <w:tcW w:type="dxa" w:w="2340"/>
          </w:tcPr>
          <w:p>
            <w:r>
              <w:rPr>
                <w:sz w:val="18"/>
              </w:rPr>
              <w:t>Approved: Prime commercial terms.</w:t>
            </w:r>
          </w:p>
        </w:tc>
      </w:tr>
      <w:tr>
        <w:tc>
          <w:tcPr>
            <w:tcW w:type="dxa" w:w="2340"/>
          </w:tcPr>
          <w:p>
            <w:r>
              <w:rPr>
                <w:sz w:val="18"/>
              </w:rPr>
              <w:t>**CBI 3**</w:t>
            </w:r>
          </w:p>
        </w:tc>
        <w:tc>
          <w:tcPr>
            <w:tcW w:type="dxa" w:w="2340"/>
          </w:tcPr>
          <w:p>
            <w:r>
              <w:rPr>
                <w:sz w:val="18"/>
              </w:rPr>
              <w:t>$71 - 80</w:t>
              <w:tab/>
              <w:t>ext{ Marks}$</w:t>
            </w:r>
          </w:p>
        </w:tc>
        <w:tc>
          <w:tcPr>
            <w:tcW w:type="dxa" w:w="2340"/>
          </w:tcPr>
          <w:p>
            <w:r>
              <w:rPr>
                <w:sz w:val="18"/>
              </w:rPr>
              <w:t>Adequate Safety / Low Risk</w:t>
            </w:r>
          </w:p>
        </w:tc>
        <w:tc>
          <w:tcPr>
            <w:tcW w:type="dxa" w:w="2340"/>
          </w:tcPr>
          <w:p>
            <w:r>
              <w:rPr>
                <w:sz w:val="18"/>
              </w:rPr>
              <w:t>Approved: Standard sanction terms.</w:t>
            </w:r>
          </w:p>
        </w:tc>
      </w:tr>
      <w:tr>
        <w:tc>
          <w:tcPr>
            <w:tcW w:type="dxa" w:w="2340"/>
          </w:tcPr>
          <w:p>
            <w:r>
              <w:rPr>
                <w:sz w:val="18"/>
              </w:rPr>
              <w:t>**CBI 4**</w:t>
            </w:r>
          </w:p>
        </w:tc>
        <w:tc>
          <w:tcPr>
            <w:tcW w:type="dxa" w:w="2340"/>
          </w:tcPr>
          <w:p>
            <w:r>
              <w:rPr>
                <w:sz w:val="18"/>
              </w:rPr>
              <w:t>$61 - 70</w:t>
              <w:tab/>
              <w:t>ext{ Marks}$</w:t>
            </w:r>
          </w:p>
        </w:tc>
        <w:tc>
          <w:tcPr>
            <w:tcW w:type="dxa" w:w="2340"/>
          </w:tcPr>
          <w:p>
            <w:r>
              <w:rPr>
                <w:sz w:val="18"/>
              </w:rPr>
              <w:t>Moderate Safety / Moderate Risk</w:t>
            </w:r>
          </w:p>
        </w:tc>
        <w:tc>
          <w:tcPr>
            <w:tcW w:type="dxa" w:w="2340"/>
          </w:tcPr>
          <w:p>
            <w:r>
              <w:rPr>
                <w:sz w:val="18"/>
              </w:rPr>
              <w:t>Approved: Standard covenants and quarterly stock audit.</w:t>
            </w:r>
          </w:p>
        </w:tc>
      </w:tr>
      <w:tr>
        <w:tc>
          <w:tcPr>
            <w:tcW w:type="dxa" w:w="2340"/>
          </w:tcPr>
          <w:p>
            <w:r>
              <w:rPr>
                <w:sz w:val="18"/>
              </w:rPr>
              <w:t>**CBI 5**</w:t>
            </w:r>
          </w:p>
        </w:tc>
        <w:tc>
          <w:tcPr>
            <w:tcW w:type="dxa" w:w="2340"/>
          </w:tcPr>
          <w:p>
            <w:r>
              <w:rPr>
                <w:sz w:val="18"/>
              </w:rPr>
              <w:t>$56 - 60</w:t>
              <w:tab/>
              <w:t>ext{ Marks}$</w:t>
            </w:r>
          </w:p>
        </w:tc>
        <w:tc>
          <w:tcPr>
            <w:tcW w:type="dxa" w:w="2340"/>
          </w:tcPr>
          <w:p>
            <w:r>
              <w:rPr>
                <w:sz w:val="18"/>
              </w:rPr>
              <w:t>Acceptable Safety / Moderate Risk</w:t>
            </w:r>
          </w:p>
        </w:tc>
        <w:tc>
          <w:tcPr>
            <w:tcW w:type="dxa" w:w="2340"/>
          </w:tcPr>
          <w:p>
            <w:r>
              <w:rPr>
                <w:sz w:val="18"/>
              </w:rPr>
              <w:t>Approved: Special covenants (Min CR $\ge 1.20$, DER $\le 3.0$).</w:t>
            </w:r>
          </w:p>
        </w:tc>
      </w:tr>
      <w:tr>
        <w:tc>
          <w:tcPr>
            <w:tcW w:type="dxa" w:w="2340"/>
          </w:tcPr>
          <w:p>
            <w:r>
              <w:rPr>
                <w:sz w:val="18"/>
              </w:rPr>
              <w:t>**CBI 6**</w:t>
            </w:r>
          </w:p>
        </w:tc>
        <w:tc>
          <w:tcPr>
            <w:tcW w:type="dxa" w:w="2340"/>
          </w:tcPr>
          <w:p>
            <w:r>
              <w:rPr>
                <w:sz w:val="18"/>
              </w:rPr>
              <w:t>$51 - 55</w:t>
              <w:tab/>
              <w:t>ext{ Marks}$</w:t>
            </w:r>
          </w:p>
        </w:tc>
        <w:tc>
          <w:tcPr>
            <w:tcW w:type="dxa" w:w="2340"/>
          </w:tcPr>
          <w:p>
            <w:r>
              <w:rPr>
                <w:sz w:val="18"/>
              </w:rPr>
              <w:t>Minimum Acceptable Safety</w:t>
            </w:r>
          </w:p>
        </w:tc>
        <w:tc>
          <w:tcPr>
            <w:tcW w:type="dxa" w:w="2340"/>
          </w:tcPr>
          <w:p>
            <w:r>
              <w:rPr>
                <w:sz w:val="18"/>
              </w:rPr>
              <w:t>Approved: Stringent monitoring ($\ge 80\%$ turnover routing).</w:t>
            </w:r>
          </w:p>
        </w:tc>
      </w:tr>
      <w:tr>
        <w:tc>
          <w:tcPr>
            <w:tcW w:type="dxa" w:w="2340"/>
          </w:tcPr>
          <w:p>
            <w:r>
              <w:rPr>
                <w:sz w:val="18"/>
              </w:rPr>
              <w:t>**CBI 7**</w:t>
            </w:r>
          </w:p>
        </w:tc>
        <w:tc>
          <w:tcPr>
            <w:tcW w:type="dxa" w:w="2340"/>
          </w:tcPr>
          <w:p>
            <w:r>
              <w:rPr>
                <w:sz w:val="18"/>
              </w:rPr>
              <w:t>$46 - 50</w:t>
              <w:tab/>
              <w:t>ext{ Marks}$</w:t>
            </w:r>
          </w:p>
        </w:tc>
        <w:tc>
          <w:tcPr>
            <w:tcW w:type="dxa" w:w="2340"/>
          </w:tcPr>
          <w:p>
            <w:r>
              <w:rPr>
                <w:sz w:val="18"/>
              </w:rPr>
              <w:t>Sub-Standard / High Risk</w:t>
            </w:r>
          </w:p>
        </w:tc>
        <w:tc>
          <w:tcPr>
            <w:tcW w:type="dxa" w:w="2340"/>
          </w:tcPr>
          <w:p>
            <w:r>
              <w:rPr>
                <w:sz w:val="18"/>
              </w:rPr>
              <w:t>**REJECTED: Fails Statutory 50-Mark Hurdle Rate.**</w:t>
            </w:r>
          </w:p>
        </w:tc>
      </w:tr>
      <w:tr>
        <w:tc>
          <w:tcPr>
            <w:tcW w:type="dxa" w:w="2340"/>
          </w:tcPr>
          <w:p>
            <w:r>
              <w:rPr>
                <w:sz w:val="18"/>
              </w:rPr>
              <w:t>**CBI 8**</w:t>
            </w:r>
          </w:p>
        </w:tc>
        <w:tc>
          <w:tcPr>
            <w:tcW w:type="dxa" w:w="2340"/>
          </w:tcPr>
          <w:p>
            <w:r>
              <w:rPr>
                <w:sz w:val="18"/>
              </w:rPr>
              <w:t>$41 - 45</w:t>
              <w:tab/>
              <w:t>ext{ Marks}$</w:t>
            </w:r>
          </w:p>
        </w:tc>
        <w:tc>
          <w:tcPr>
            <w:tcW w:type="dxa" w:w="2340"/>
          </w:tcPr>
          <w:p>
            <w:r>
              <w:rPr>
                <w:sz w:val="18"/>
              </w:rPr>
              <w:t>Poor Safety / Vulnerable</w:t>
            </w:r>
          </w:p>
        </w:tc>
        <w:tc>
          <w:tcPr>
            <w:tcW w:type="dxa" w:w="2340"/>
          </w:tcPr>
          <w:p>
            <w:r>
              <w:rPr>
                <w:sz w:val="18"/>
              </w:rPr>
              <w:t>**REJECTED: Fails Hurdle Rate.**</w:t>
            </w:r>
          </w:p>
        </w:tc>
      </w:tr>
      <w:tr>
        <w:tc>
          <w:tcPr>
            <w:tcW w:type="dxa" w:w="2340"/>
          </w:tcPr>
          <w:p>
            <w:r>
              <w:rPr>
                <w:sz w:val="18"/>
              </w:rPr>
              <w:t>**CBI 9**</w:t>
            </w:r>
          </w:p>
        </w:tc>
        <w:tc>
          <w:tcPr>
            <w:tcW w:type="dxa" w:w="2340"/>
          </w:tcPr>
          <w:p>
            <w:r>
              <w:rPr>
                <w:sz w:val="18"/>
              </w:rPr>
              <w:t>$36 - 40</w:t>
              <w:tab/>
              <w:t>ext{ Marks}$</w:t>
            </w:r>
          </w:p>
        </w:tc>
        <w:tc>
          <w:tcPr>
            <w:tcW w:type="dxa" w:w="2340"/>
          </w:tcPr>
          <w:p>
            <w:r>
              <w:rPr>
                <w:sz w:val="18"/>
              </w:rPr>
              <w:t>Very Poor Safety / High Default</w:t>
            </w:r>
          </w:p>
        </w:tc>
        <w:tc>
          <w:tcPr>
            <w:tcW w:type="dxa" w:w="2340"/>
          </w:tcPr>
          <w:p>
            <w:r>
              <w:rPr>
                <w:sz w:val="18"/>
              </w:rPr>
              <w:t>**REJECTED: Fails Hurdle Rate.**</w:t>
            </w:r>
          </w:p>
        </w:tc>
      </w:tr>
      <w:tr>
        <w:tc>
          <w:tcPr>
            <w:tcW w:type="dxa" w:w="2340"/>
          </w:tcPr>
          <w:p>
            <w:r>
              <w:rPr>
                <w:sz w:val="18"/>
              </w:rPr>
              <w:t>**CBI 10**</w:t>
            </w:r>
          </w:p>
        </w:tc>
        <w:tc>
          <w:tcPr>
            <w:tcW w:type="dxa" w:w="2340"/>
          </w:tcPr>
          <w:p>
            <w:r>
              <w:rPr>
                <w:sz w:val="18"/>
              </w:rPr>
              <w:t>$\le 35</w:t>
              <w:tab/>
              <w:t>ext{ Marks}$</w:t>
            </w:r>
          </w:p>
        </w:tc>
        <w:tc>
          <w:tcPr>
            <w:tcW w:type="dxa" w:w="2340"/>
          </w:tcPr>
          <w:p>
            <w:r>
              <w:rPr>
                <w:sz w:val="18"/>
              </w:rPr>
              <w:t>Substantial Default Risk / Defaulter</w:t>
            </w:r>
          </w:p>
        </w:tc>
        <w:tc>
          <w:tcPr>
            <w:tcW w:type="dxa" w:w="2340"/>
          </w:tcPr>
          <w:p>
            <w:r>
              <w:rPr>
                <w:sz w:val="18"/>
              </w:rPr>
              <w:t>**REJECTED: Total credit prohibition.**</w:t>
            </w:r>
          </w:p>
        </w:tc>
      </w:tr>
    </w:tbl>
    <w:p/>
    <w:p>
      <w:r>
        <w:rPr>
          <w:sz w:val="21"/>
        </w:rPr>
        <w:t>---</w:t>
      </w:r>
    </w:p>
    <w:p>
      <w:pPr>
        <w:pStyle w:val="Heading2"/>
      </w:pPr>
      <w:r>
        <w:rPr>
          <w:b/>
          <w:color w:val="1E5A96"/>
          <w:sz w:val="28"/>
        </w:rPr>
        <w:t>5.5 Statutory 50-Mark Hurdle Rate Benchmark &amp; Defaulter Override Invariants</w:t>
      </w:r>
    </w:p>
    <w:p>
      <w:r>
        <w:rPr>
          <w:sz w:val="21"/>
        </w:rPr>
        <w:t>The ILAS decision engine programmatically enforces two strict, non-negotiable credit invariants:</w:t>
      </w:r>
    </w:p>
    <w:p>
      <w:pPr>
        <w:pStyle w:val="ListNumber"/>
      </w:pPr>
      <w:r>
        <w:rPr>
          <w:sz w:val="21"/>
        </w:rPr>
        <w:t>**The 50-Mark Hurdle Rate Invariant**: To qualify for loan approval under Central Bank credit policy, an enterprise must score **strictly greater than 50 marks** ($</w:t>
        <w:tab/>
        <w:t>ext{Total Score} &gt; 50$, corresponding to `CBI 1` through `CBI 6`). Any proposal scoring $\le 50$ marks (`CBI 7` through `CBI 10`) is automatically rejected.</w:t>
      </w:r>
    </w:p>
    <w:p>
      <w:pPr>
        <w:pStyle w:val="ListNumber"/>
      </w:pPr>
      <w:r>
        <w:rPr>
          <w:sz w:val="21"/>
        </w:rPr>
        <w:t>**The Defaulter Override Rule**: If an applicant has debt servicing arrears **overdue for more than 3 months** (&gt;90 DPD, classified as NPA), the scoring engine overrides all other parameters, immediately clamps the total score to **0 marks**, and assigns grade **`CBI 10` (Defaulter)**, terminating the proposal with an automatic rejection recommendation.</w:t>
      </w:r>
    </w:p>
    <w:p>
      <w:r>
        <w:rPr>
          <w:sz w:val="21"/>
        </w:rPr>
        <w:t>---</w:t>
      </w:r>
    </w:p>
    <w:p>
      <w:pPr>
        <w:pStyle w:val="Heading2"/>
      </w:pPr>
      <w:r>
        <w:rPr>
          <w:b/>
          <w:color w:val="1E5A96"/>
          <w:sz w:val="28"/>
        </w:rPr>
        <w:t>5.6 Dynamic Repo-Based Lending Rate (RBLR) Pricing Engine (01.07.2026 Circular)</w:t>
      </w:r>
    </w:p>
    <w:p>
      <w:r>
        <w:rPr>
          <w:sz w:val="21"/>
        </w:rPr>
        <w:t>ILAS dynamically computes the applicable Rate of Interest (ROI) using the bank's **Master Circular on Rate of Interest on Retail &amp; MSME Advances (Effective 01.07.2026)**:</w:t>
      </w:r>
    </w:p>
    <w:p>
      <w:r>
        <w:rPr>
          <w:sz w:val="21"/>
        </w:rPr>
        <w:t>$$\text{Applicable ROI} = \text{Base RBLR (8.25\%)} + \text{Credit Risk Premium (CRP)} + \text{Business Strategy Premium (BSP)} - \text{Concessions}$$</w:t>
      </w:r>
    </w:p>
    <w:p>
      <w:r>
        <w:rPr>
          <w:sz w:val="21"/>
        </w:rPr>
        <w:t>┌────────────────────────────────────────────────────────────────────────────────────────┐</w:t>
      </w:r>
    </w:p>
    <w:p>
      <w:r>
        <w:rPr>
          <w:sz w:val="21"/>
        </w:rPr>
        <w:t>│                  CENTRAL BANK OF INDIA RBLR PRICING SCHEDULE (01.07.2026)              │</w:t>
      </w:r>
    </w:p>
    <w:p>
      <w:r>
        <w:rPr>
          <w:sz w:val="21"/>
        </w:rPr>
        <w:t>├─────────────────────────┬───────────────────────────┬──────────────────────────────────┤</w:t>
      </w:r>
    </w:p>
    <w:p>
      <w:r>
        <w:rPr>
          <w:sz w:val="21"/>
        </w:rPr>
        <w:t>│ Facility Type           │ Risk Tier / Rating Slab   │ Final Applicable Rate of Interest│</w:t>
      </w:r>
    </w:p>
    <w:p>
      <w:r>
        <w:rPr>
          <w:sz w:val="21"/>
        </w:rPr>
        <w:t>├─────────────────────────┼───────────────────────────┼──────────────────────────────────┤</w:t>
      </w:r>
    </w:p>
    <w:p>
      <w:r>
        <w:rPr>
          <w:sz w:val="21"/>
        </w:rPr>
        <w:t>│ Cent Home Loan          │ CIBIL &gt;= 800 (RBLR - 105) │ 7.20% p.a.                       │</w:t>
      </w:r>
    </w:p>
    <w:p>
      <w:r>
        <w:rPr>
          <w:sz w:val="21"/>
        </w:rPr>
        <w:t>│ Cent Home Loan          │ CIBIL 750 - 799           │ 7.40% p.a.                       │</w:t>
      </w:r>
    </w:p>
    <w:p>
      <w:r>
        <w:rPr>
          <w:sz w:val="21"/>
        </w:rPr>
        <w:t>│ Cent Home Loan          │ CIBIL 700 - 749           │ 7.90% p.a.                       │</w:t>
      </w:r>
    </w:p>
    <w:p>
      <w:r>
        <w:rPr>
          <w:sz w:val="21"/>
        </w:rPr>
        <w:t>│ Cent Home Loan          │ CIBIL 650 - 699           │ 8.40% p.a.                       │</w:t>
      </w:r>
    </w:p>
    <w:p>
      <w:r>
        <w:rPr>
          <w:sz w:val="21"/>
        </w:rPr>
        <w:t>│ Cent Home Loan          │ CIBIL &lt; 650               │ 9.00% p.a.                       │</w:t>
      </w:r>
    </w:p>
    <w:p>
      <w:r>
        <w:rPr>
          <w:sz w:val="21"/>
        </w:rPr>
        <w:t>├─────────────────────────┼───────────────────────────┼──────────────────────────────────┤</w:t>
      </w:r>
    </w:p>
    <w:p>
      <w:r>
        <w:rPr>
          <w:sz w:val="21"/>
        </w:rPr>
        <w:t>│ Cent Vehicle Loan       │ CIBIL &gt;= 750 (RBLR - 05)  │ 8.20% p.a.                       │</w:t>
      </w:r>
    </w:p>
    <w:p>
      <w:r>
        <w:rPr>
          <w:sz w:val="21"/>
        </w:rPr>
        <w:t>│ Cent Vehicle Loan       │ CIBIL &lt; 750               │ 8.70% - 9.50% p.a.               │</w:t>
      </w:r>
    </w:p>
    <w:p>
      <w:r>
        <w:rPr>
          <w:sz w:val="21"/>
        </w:rPr>
        <w:t>├─────────────────────────┼───────────────────────────┼──────────────────────────────────┤</w:t>
      </w:r>
    </w:p>
    <w:p>
      <w:r>
        <w:rPr>
          <w:sz w:val="21"/>
        </w:rPr>
        <w:t>│ Cent Personal Loan      │ Clean Personal Advance    │ 11.25% p.a.                      │</w:t>
      </w:r>
    </w:p>
    <w:p>
      <w:r>
        <w:rPr>
          <w:sz w:val="21"/>
        </w:rPr>
        <w:t>├─────────────────────────┼───────────────────────────┼──────────────────────────────────┤</w:t>
      </w:r>
    </w:p>
    <w:p>
      <w:r>
        <w:rPr>
          <w:sz w:val="21"/>
        </w:rPr>
        <w:t>│ MSME Advances           │ Grade CBI 1 / CBI 2       │ 8.40% p.a. (8.15% with CGTMSE)   │</w:t>
      </w:r>
    </w:p>
    <w:p>
      <w:r>
        <w:rPr>
          <w:sz w:val="21"/>
        </w:rPr>
        <w:t>│ MSME Advances           │ Grade CBI 3 / CBI 4       │ 8.90% p.a. (8.65% with CGTMSE)   │</w:t>
      </w:r>
    </w:p>
    <w:p>
      <w:r>
        <w:rPr>
          <w:sz w:val="21"/>
        </w:rPr>
        <w:t>│ MSME Advances           │ Grade CBI 5 / CBI 6       │ 9.65% p.a. (9.40% with CGTMSE)   │</w:t>
      </w:r>
    </w:p>
    <w:p>
      <w:r>
        <w:rPr>
          <w:sz w:val="21"/>
        </w:rPr>
        <w:t>│ MSME Advances           │ Grade CBI 7 to CBI 10     │ 10.75% - 13.50% p.a. (If Overrid)│</w:t>
      </w:r>
    </w:p>
    <w:p>
      <w:r>
        <w:rPr>
          <w:sz w:val="21"/>
        </w:rPr>
        <w:t>└─────────────────────────┴───────────────────────────┴──────────────────────────────────┘</w:t>
      </w:r>
    </w:p>
    <w:p>
      <w:r>
        <w:rPr>
          <w:sz w:val="21"/>
        </w:rPr>
        <w:t>*(Statutory Concession: Eligible micro and small enterprises covered under the **CGTMSE Scheme** receive a mandatory **25 basis points (0.25%) interest rate concession** across all credit grades).*</w:t>
      </w:r>
    </w:p>
    <w:p>
      <w:pPr>
        <w:pStyle w:val="Heading1"/>
      </w:pPr>
      <w:r>
        <w:rPr>
          <w:b/>
          <w:color w:val="0F4C81"/>
          <w:sz w:val="36"/>
        </w:rPr>
        <w:t>📖 CHAPTER 6: CORPORATE FINANCIAL INTELLIGENCE, FORENSIC AUDIT &amp; DCF VALUATION</w:t>
      </w:r>
    </w:p>
    <w:p>
      <w:pPr>
        <w:pStyle w:val="Heading2"/>
      </w:pPr>
      <w:r>
        <w:rPr>
          <w:b/>
          <w:color w:val="1E5A96"/>
          <w:sz w:val="28"/>
        </w:rPr>
        <w:t>6.1 Multi-Year Credit Monitoring Arrangement (CMA) Financial Spreading Engine</w:t>
      </w:r>
    </w:p>
    <w:p>
      <w:r>
        <w:rPr>
          <w:sz w:val="21"/>
        </w:rPr>
        <w:t>The **Credit Monitoring Arrangement (CMA)** is the standard Indian banking format for analyzing commercial borrowers. The `FinancialStatementSpreader` engine (`backend/financial_intelligence.py`) ingests multi-year audited financial records across FY24, FY25, and FY26, standardizing Profit &amp; Loss statements and Balance Sheets into normalized accounting matrices:</w:t>
      </w:r>
    </w:p>
    <w:p>
      <w:r>
        <w:rPr>
          <w:sz w:val="21"/>
        </w:rPr>
        <w:t>graph LR</w:t>
      </w:r>
    </w:p>
    <w:p>
      <w:r>
        <w:rPr>
          <w:sz w:val="21"/>
        </w:rPr>
        <w:t>A["Raw Balance Sheet &amp; P&amp;L Records"] --&gt; B["CMA Financial Spreader"]</w:t>
      </w:r>
    </w:p>
    <w:p>
      <w:r>
        <w:rPr>
          <w:sz w:val="21"/>
        </w:rPr>
        <w:t>B --&gt; C["Standardized P&amp;L</w:t>
      </w:r>
    </w:p>
    <w:p>
      <w:r>
        <w:rPr>
          <w:sz w:val="21"/>
        </w:rPr>
        <w:t>(Revenue, EBITDA, EBIT, PAT, Cash Accruals)"]</w:t>
      </w:r>
    </w:p>
    <w:p>
      <w:r>
        <w:rPr>
          <w:sz w:val="21"/>
        </w:rPr>
        <w:t>B --&gt; D["Standardized Balance Sheet</w:t>
      </w:r>
    </w:p>
    <w:p>
      <w:r>
        <w:rPr>
          <w:sz w:val="21"/>
        </w:rPr>
        <w:t>(Current Assets, Current Liabilities, Net Worth, Debt)"]</w:t>
      </w:r>
    </w:p>
    <w:p>
      <w:r>
        <w:rPr>
          <w:sz w:val="21"/>
        </w:rPr>
        <w:t>C --&gt; E["5-Pillar Diagnostics &amp; Valuation Hub"]</w:t>
      </w:r>
    </w:p>
    <w:p>
      <w:r>
        <w:rPr>
          <w:sz w:val="21"/>
        </w:rPr>
        <w:t>D --&gt; E</w:t>
      </w:r>
    </w:p>
    <w:p>
      <w:pPr>
        <w:pStyle w:val="Heading3"/>
      </w:pPr>
      <w:r>
        <w:rPr>
          <w:b/>
          <w:color w:val="323232"/>
          <w:sz w:val="24"/>
        </w:rPr>
        <w:t>Core Normalized Accounting Identities:</w:t>
      </w:r>
    </w:p>
    <w:p>
      <w:pPr>
        <w:pStyle w:val="ListBullet"/>
      </w:pPr>
      <w:r>
        <w:rPr>
          <w:sz w:val="21"/>
        </w:rPr>
        <w:t>$\text{Gross Profit} = \text{Gross Turnover} - \text{Cost of Goods Sold (COGS)}$</w:t>
      </w:r>
    </w:p>
    <w:p>
      <w:pPr>
        <w:pStyle w:val="ListBullet"/>
      </w:pPr>
      <w:r>
        <w:rPr>
          <w:sz w:val="21"/>
        </w:rPr>
        <w:t>$\text{EBITDA} = \text{Gross Profit} - \text{Operating &amp; Administrative Expenses}$</w:t>
      </w:r>
    </w:p>
    <w:p>
      <w:pPr>
        <w:pStyle w:val="ListBullet"/>
      </w:pPr>
      <w:r>
        <w:rPr>
          <w:sz w:val="21"/>
        </w:rPr>
        <w:t>$\text{EBIT} = \text{EBITDA} - \text{Depreciation &amp; Amortization}$</w:t>
      </w:r>
    </w:p>
    <w:p>
      <w:pPr>
        <w:pStyle w:val="ListBullet"/>
      </w:pPr>
      <w:r>
        <w:rPr>
          <w:sz w:val="21"/>
        </w:rPr>
        <w:t>$\text{EBT} = \text{EBIT} - \text{Finance &amp; Interest Charges}$</w:t>
      </w:r>
    </w:p>
    <w:p>
      <w:pPr>
        <w:pStyle w:val="ListBullet"/>
      </w:pPr>
      <w:r>
        <w:rPr>
          <w:sz w:val="21"/>
        </w:rPr>
        <w:t>$\text{PAT} = \text{EBT} - \text{Tax Provision}$</w:t>
      </w:r>
    </w:p>
    <w:p>
      <w:pPr>
        <w:pStyle w:val="ListBullet"/>
      </w:pPr>
      <w:r>
        <w:rPr>
          <w:sz w:val="21"/>
        </w:rPr>
        <w:t>$\text{Cash Accruals} = \text{PAT} + \text{Depreciation}$</w:t>
      </w:r>
    </w:p>
    <w:p>
      <w:r>
        <w:rPr>
          <w:sz w:val="21"/>
        </w:rPr>
        <w:t>---</w:t>
      </w:r>
    </w:p>
    <w:p>
      <w:pPr>
        <w:pStyle w:val="Heading2"/>
      </w:pPr>
      <w:r>
        <w:rPr>
          <w:b/>
          <w:color w:val="1E5A96"/>
          <w:sz w:val="28"/>
        </w:rPr>
        <w:t>6.2 5-Pillar Financial Ratio Diagnostics &amp; Operational Solvency Analysis</w:t>
      </w:r>
    </w:p>
    <w:p>
      <w:r>
        <w:rPr>
          <w:sz w:val="21"/>
        </w:rPr>
        <w:t>The `RatioDiagnosticsEngine` computes comprehensive financial ratios grouped across **5 institutional pillars**:</w:t>
      </w:r>
    </w:p>
    <w:p>
      <w:pPr>
        <w:pStyle w:val="ListNumber"/>
      </w:pPr>
      <w:r>
        <w:rPr>
          <w:sz w:val="21"/>
        </w:rPr>
        <w:t>**Liquidity Diagnostics**:</w:t>
      </w:r>
    </w:p>
    <w:p>
      <w:pPr>
        <w:pStyle w:val="ListBullet"/>
      </w:pPr>
      <w:r>
        <w:rPr>
          <w:sz w:val="21"/>
        </w:rPr>
        <w:t>$\text{Current Ratio (CR)} = \frac{\text{Total Current Assets}}{\text{Total Current Liabilities}} \quad (\text{Benchmark} \ge 1.33)$</w:t>
      </w:r>
    </w:p>
    <w:p>
      <w:pPr>
        <w:pStyle w:val="ListBullet"/>
      </w:pPr>
      <w:r>
        <w:rPr>
          <w:sz w:val="21"/>
        </w:rPr>
        <w:t>$\text{Quick Ratio} = \frac{\text{Current Assets} - \text{Inventory}}{\text{Current Liabilities}} \quad (\text{Benchmark} \ge 1.00)$</w:t>
      </w:r>
    </w:p>
    <w:p>
      <w:pPr>
        <w:pStyle w:val="ListNumber"/>
      </w:pPr>
      <w:r>
        <w:rPr>
          <w:sz w:val="21"/>
        </w:rPr>
        <w:t>**Solvency &amp; Capital Structure Diagnostics**:</w:t>
      </w:r>
    </w:p>
    <w:p>
      <w:pPr>
        <w:pStyle w:val="ListBullet"/>
      </w:pPr>
      <w:r>
        <w:rPr>
          <w:sz w:val="21"/>
        </w:rPr>
        <w:t>$\text{Debt-to-Equity Ratio (DER)} = \frac{\text{Total Long-Term Debt}}{\text{Tangible Net Worth (TNW)}} \quad (\text{Benchmark} \le 2.00)$</w:t>
      </w:r>
    </w:p>
    <w:p>
      <w:pPr>
        <w:pStyle w:val="ListBullet"/>
      </w:pPr>
      <w:r>
        <w:rPr>
          <w:sz w:val="21"/>
        </w:rPr>
        <w:t>$\text{TOL / TNW} = \frac{\text{Total Outside Liabilities}}{\text{Tangible Net Worth}} \quad (\text{Benchmark} \le 3.00)$</w:t>
      </w:r>
    </w:p>
    <w:p>
      <w:pPr>
        <w:pStyle w:val="ListNumber"/>
      </w:pPr>
      <w:r>
        <w:rPr>
          <w:sz w:val="21"/>
        </w:rPr>
        <w:t>**Turnover &amp; Operational Efficiency Diagnostics**:</w:t>
      </w:r>
    </w:p>
    <w:p>
      <w:pPr>
        <w:pStyle w:val="ListBullet"/>
      </w:pPr>
      <w:r>
        <w:rPr>
          <w:sz w:val="21"/>
        </w:rPr>
        <w:t>$\text{Debtor Days (DSO)} = \frac{\text{Trade Receivables}}{\text{Gross Sales}} \times 365$</w:t>
      </w:r>
    </w:p>
    <w:p>
      <w:pPr>
        <w:pStyle w:val="ListBullet"/>
      </w:pPr>
      <w:r>
        <w:rPr>
          <w:sz w:val="21"/>
        </w:rPr>
        <w:t>$\text{Inventory Holding Days (DSI)} = \frac{\text{Inventory}}{\text{Cost of Goods Sold}} \times 365$</w:t>
      </w:r>
    </w:p>
    <w:p>
      <w:pPr>
        <w:pStyle w:val="ListBullet"/>
      </w:pPr>
      <w:r>
        <w:rPr>
          <w:sz w:val="21"/>
        </w:rPr>
        <w:t>$\text{Creditor Days (DPO)} = \frac{\text{Trade Payables}}{\text{Cost of Goods Sold}} \times 365$</w:t>
      </w:r>
    </w:p>
    <w:p>
      <w:pPr>
        <w:pStyle w:val="ListBullet"/>
      </w:pPr>
      <w:r>
        <w:rPr>
          <w:sz w:val="21"/>
        </w:rPr>
        <w:t>$\text{Net Working Capital Cycle} = \text{DSO} + \text{DSI} - \text{DPO}$</w:t>
      </w:r>
    </w:p>
    <w:p>
      <w:pPr>
        <w:pStyle w:val="ListNumber"/>
      </w:pPr>
      <w:r>
        <w:rPr>
          <w:sz w:val="21"/>
        </w:rPr>
        <w:t>**Profitability Diagnostics**:</w:t>
      </w:r>
    </w:p>
    <w:p>
      <w:pPr>
        <w:pStyle w:val="ListBullet"/>
      </w:pPr>
      <w:r>
        <w:rPr>
          <w:sz w:val="21"/>
        </w:rPr>
        <w:t>$\text{Operating Margin} = \frac{\text{EBIT}}{\text{Gross Turnover}} \times 100$</w:t>
      </w:r>
    </w:p>
    <w:p>
      <w:pPr>
        <w:pStyle w:val="ListBullet"/>
      </w:pPr>
      <w:r>
        <w:rPr>
          <w:sz w:val="21"/>
        </w:rPr>
        <w:t>$\text{Return on Capital Employed (ROCE)} = \frac{\text{EBIT}}{\text{Tangible Net Worth} + \text{Total Debt}} \times 100$</w:t>
      </w:r>
    </w:p>
    <w:p>
      <w:pPr>
        <w:pStyle w:val="ListBullet"/>
      </w:pPr>
      <w:r>
        <w:rPr>
          <w:sz w:val="21"/>
        </w:rPr>
        <w:t>$\text{Return on Equity (ROE)} = \frac{\text{PAT}}{\text{Tangible Net Worth}} \times 100$</w:t>
      </w:r>
    </w:p>
    <w:p>
      <w:pPr>
        <w:pStyle w:val="ListNumber"/>
      </w:pPr>
      <w:r>
        <w:rPr>
          <w:sz w:val="21"/>
        </w:rPr>
        <w:t>**Debt Service Coverage Diagnostics**:</w:t>
      </w:r>
    </w:p>
    <w:p>
      <w:pPr>
        <w:pStyle w:val="ListBullet"/>
      </w:pPr>
      <w:r>
        <w:rPr>
          <w:sz w:val="21"/>
        </w:rPr>
        <w:t>$\text{Debt Service Coverage Ratio (DSCR)} = \frac{\text{PAT} + \text{Depreciation} + \text{Interest Charges}}{\text{Principal Debt Installments} + \text{Interest Charges}} \quad (\text{Benchmark} \ge 1.20x)$</w:t>
      </w:r>
    </w:p>
    <w:p>
      <w:pPr>
        <w:pStyle w:val="ListBullet"/>
      </w:pPr>
      <w:r>
        <w:rPr>
          <w:sz w:val="21"/>
        </w:rPr>
        <w:t>$\text{Interest Coverage Ratio (ICR)} = \frac{\text{EBIT}}{\text{Interest Charges}} \quad (\text{Benchmark} \ge 2.00x)$</w:t>
      </w:r>
    </w:p>
    <w:p>
      <w:r>
        <w:rPr>
          <w:sz w:val="21"/>
        </w:rPr>
        <w:t>---</w:t>
      </w:r>
    </w:p>
    <w:p>
      <w:pPr>
        <w:pStyle w:val="Heading2"/>
      </w:pPr>
      <w:r>
        <w:rPr>
          <w:b/>
          <w:color w:val="1E5A96"/>
          <w:sz w:val="28"/>
        </w:rPr>
        <w:t>6.3 Maximum Permissible Bank Finance (MPBF): Tandon &amp; Nayak Models</w:t>
      </w:r>
    </w:p>
    <w:p>
      <w:r>
        <w:rPr>
          <w:sz w:val="21"/>
        </w:rPr>
        <w:t>Working capital loan limits are sized using the official RBI regulatory models:</w:t>
      </w:r>
    </w:p>
    <w:p>
      <w:pPr>
        <w:pStyle w:val="Heading3"/>
      </w:pPr>
      <w:r>
        <w:rPr>
          <w:b/>
          <w:color w:val="323232"/>
          <w:sz w:val="24"/>
        </w:rPr>
        <w:t>1. Tandon Committee Method I (for smaller commercial units):</w:t>
      </w:r>
    </w:p>
    <w:p>
      <w:r>
        <w:rPr>
          <w:sz w:val="21"/>
        </w:rPr>
        <w:t>$$\text{Working Capital Gap (WCG)} = \text{Total Current Assets} - \text{Current Liabilities (excluding Bank Borrowings)}$$</w:t>
      </w:r>
    </w:p>
    <w:p>
      <w:r>
        <w:rPr>
          <w:sz w:val="21"/>
        </w:rPr>
        <w:t>$$\text{MPBF}_{\text{Method I}} = 0.75 \times \text{WCG}$$</w:t>
      </w:r>
    </w:p>
    <w:p>
      <w:r>
        <w:rPr>
          <w:sz w:val="21"/>
        </w:rPr>
        <w:t>*(Borrower contributes minimum 25% of the Working Capital Gap from long-term funds).*</w:t>
      </w:r>
    </w:p>
    <w:p>
      <w:pPr>
        <w:pStyle w:val="Heading3"/>
      </w:pPr>
      <w:r>
        <w:rPr>
          <w:b/>
          <w:color w:val="323232"/>
          <w:sz w:val="24"/>
        </w:rPr>
        <w:t>2. Tandon Committee Method II (standard for medium &amp; large corporate units):</w:t>
      </w:r>
    </w:p>
    <w:p>
      <w:r>
        <w:rPr>
          <w:sz w:val="21"/>
        </w:rPr>
        <w:t>$$\text{MPBF}_{\text{Method II}} = (0.75 \times \text{Total Current Assets}) - \text{Current Liabilities (excluding Bank Borrowings)}$$</w:t>
      </w:r>
    </w:p>
    <w:p>
      <w:r>
        <w:rPr>
          <w:sz w:val="21"/>
        </w:rPr>
        <w:t>*(Borrower contributes minimum 25% of Total Current Assets from long-term net working capital).*</w:t>
      </w:r>
    </w:p>
    <w:p>
      <w:pPr>
        <w:pStyle w:val="Heading3"/>
      </w:pPr>
      <w:r>
        <w:rPr>
          <w:b/>
          <w:color w:val="323232"/>
          <w:sz w:val="24"/>
        </w:rPr>
        <w:t>3. Nayak Committee Turnover Model (for MSMEs with working capital limits $\le ₹5.0\text{ Crores}$):</w:t>
      </w:r>
    </w:p>
    <w:p>
      <w:r>
        <w:rPr>
          <w:sz w:val="21"/>
        </w:rPr>
        <w:t>$$\text{Total Working Capital Requirement} = 0.25 \times \text{Projected Annual Turnover}$$</w:t>
      </w:r>
    </w:p>
    <w:p>
      <w:r>
        <w:rPr>
          <w:sz w:val="21"/>
        </w:rPr>
        <w:t>$$\text{Promoter Margin (5\%)} = 0.05 \times \text{Projected Annual Turnover}$$</w:t>
      </w:r>
    </w:p>
    <w:p>
      <w:r>
        <w:rPr>
          <w:sz w:val="21"/>
        </w:rPr>
        <w:t>$$\text{MPBF}_{\text{Nayak}} = 0.20 \times \text{Projected Annual Turnover}$$</w:t>
      </w:r>
    </w:p>
    <w:p>
      <w:r>
        <w:rPr>
          <w:sz w:val="21"/>
        </w:rPr>
        <w:t>---</w:t>
      </w:r>
    </w:p>
    <w:p>
      <w:pPr>
        <w:pStyle w:val="Heading2"/>
      </w:pPr>
      <w:r>
        <w:rPr>
          <w:b/>
          <w:color w:val="1E5A96"/>
          <w:sz w:val="28"/>
        </w:rPr>
        <w:t>6.4 Forensic Early-Warning Audit: Emerging Market Altman Z''-Score Model</w:t>
      </w:r>
    </w:p>
    <w:p>
      <w:r>
        <w:rPr>
          <w:sz w:val="21"/>
        </w:rPr>
        <w:t>To quantify statistical insolvency and bankruptcy risk for private manufacturing and service enterprises, ILAS utilizes the **Emerging Market Altman Z''-Score (1993)**:</w:t>
      </w:r>
    </w:p>
    <w:p>
      <w:r>
        <w:rPr>
          <w:sz w:val="21"/>
        </w:rPr>
        <w:t>$$Z'' = 6.56 X_1 + 3.26 X_2 + 6.72 X_3 + 1.05 X_4$$</w:t>
      </w:r>
    </w:p>
    <w:p>
      <w:r>
        <w:rPr>
          <w:sz w:val="21"/>
        </w:rPr>
        <w:t>Where:</w:t>
      </w:r>
    </w:p>
    <w:p>
      <w:pPr>
        <w:pStyle w:val="ListBullet"/>
      </w:pPr>
      <w:r>
        <w:rPr>
          <w:sz w:val="21"/>
        </w:rPr>
        <w:t>$X_1 = \frac{\text{Working Capital}}{\text{Total Assets}}$ (Measure of liquid asset cushion).</w:t>
      </w:r>
    </w:p>
    <w:p>
      <w:pPr>
        <w:pStyle w:val="ListBullet"/>
      </w:pPr>
      <w:r>
        <w:rPr>
          <w:sz w:val="21"/>
        </w:rPr>
        <w:t>$X_2 = \frac{\text{Retained Earnings}}{\text{Total Assets}}$ (Measure of cumulative profitability over vintage).</w:t>
      </w:r>
    </w:p>
    <w:p>
      <w:pPr>
        <w:pStyle w:val="ListBullet"/>
      </w:pPr>
      <w:r>
        <w:rPr>
          <w:sz w:val="21"/>
        </w:rPr>
        <w:t>$X_3 = \frac{\text{EBIT}}{\text{Total Assets}}$ (Measure of operational productivity of capital).</w:t>
      </w:r>
    </w:p>
    <w:p>
      <w:pPr>
        <w:pStyle w:val="ListBullet"/>
      </w:pPr>
      <w:r>
        <w:rPr>
          <w:sz w:val="21"/>
        </w:rPr>
        <w:t>$X_4 = \frac{\text{Book Value of Equity}}{\text{Total Outside Liabilities}}$ (Measure of financial leverage cushion).</w:t>
      </w:r>
    </w:p>
    <w:p>
      <w:pPr>
        <w:pStyle w:val="Heading3"/>
      </w:pPr>
      <w:r>
        <w:rPr>
          <w:b/>
          <w:color w:val="323232"/>
          <w:sz w:val="24"/>
        </w:rPr>
        <w:t>Risk Classification Zones:</w:t>
      </w:r>
    </w:p>
    <w:p>
      <w:pPr>
        <w:pStyle w:val="ListBullet"/>
      </w:pPr>
      <w:r>
        <w:rPr>
          <w:sz w:val="21"/>
        </w:rPr>
        <w:t>**$Z'' &gt; 2.60$**: **Safe Zone (Minimal Distress)** $\rightarrow$ Eligible for standard/fast-track processing.</w:t>
      </w:r>
    </w:p>
    <w:p>
      <w:pPr>
        <w:pStyle w:val="ListBullet"/>
      </w:pPr>
      <w:r>
        <w:rPr>
          <w:sz w:val="21"/>
        </w:rPr>
        <w:t>**$1.10 \le Z'' \le 2.60$**: **Grey Zone (Vulnerable / Moderate Distress)** $\rightarrow$ Requires enhanced collateral covenants.</w:t>
      </w:r>
    </w:p>
    <w:p>
      <w:pPr>
        <w:pStyle w:val="ListBullet"/>
      </w:pPr>
      <w:r>
        <w:rPr>
          <w:sz w:val="21"/>
        </w:rPr>
        <w:t>**$Z'' &lt; 1.10$**: **Distress Zone (High Default Probability)** $\rightarrow$ **Flagged for Underwriting Rejection.**</w:t>
      </w:r>
    </w:p>
    <w:p>
      <w:r>
        <w:rPr>
          <w:sz w:val="21"/>
        </w:rPr>
        <w:t>---</w:t>
      </w:r>
    </w:p>
    <w:p>
      <w:pPr>
        <w:pStyle w:val="Heading2"/>
      </w:pPr>
      <w:r>
        <w:rPr>
          <w:b/>
          <w:color w:val="1E5A96"/>
          <w:sz w:val="28"/>
        </w:rPr>
        <w:t>6.5 Beneish M-Score Framework (5 Forensic Earnings Manipulation Indices)</w:t>
      </w:r>
    </w:p>
    <w:p>
      <w:r>
        <w:rPr>
          <w:sz w:val="21"/>
        </w:rPr>
        <w:t>To detect accounting manipulation and fabricated revenue before credit disbursement, ILAS implements the **5-Variable Beneish M-Score Model**:</w:t>
      </w:r>
    </w:p>
    <w:p>
      <w:r>
        <w:rPr>
          <w:sz w:val="21"/>
        </w:rPr>
        <w:t>$$\text{M-Score} = -4.84 + 0.920 \cdot \text{DSRI} + 0.528 \cdot \text{GMI} + 0.404 \cdot \text{AQI} + 0.892 \cdot \text{SGI} + 0.115 \cdot \text{TATA}$$</w:t>
      </w:r>
    </w:p>
    <w:p>
      <w:r>
        <w:rPr>
          <w:sz w:val="21"/>
        </w:rPr>
        <w:t>┌────────────────────────────────────────────────────────────────────────────────────────┐</w:t>
      </w:r>
    </w:p>
    <w:p>
      <w:r>
        <w:rPr>
          <w:sz w:val="21"/>
        </w:rPr>
        <w:t>│                        THE 5 BENEISH M-SCORE FORENSIC INDICES                          │</w:t>
      </w:r>
    </w:p>
    <w:p>
      <w:r>
        <w:rPr>
          <w:sz w:val="21"/>
        </w:rPr>
        <w:t>├─────────┬──────────────────────────────────┬───────────────────────────────────────────┤</w:t>
      </w:r>
    </w:p>
    <w:p>
      <w:r>
        <w:rPr>
          <w:sz w:val="21"/>
        </w:rPr>
        <w:t>│ Index   │ Full Name                        │ Forensic Mathematical Formula             │</w:t>
      </w:r>
    </w:p>
    <w:p>
      <w:r>
        <w:rPr>
          <w:sz w:val="21"/>
        </w:rPr>
        <w:t>├─────────┼──────────────────────────────────┼───────────────────────────────────────────┤</w:t>
      </w:r>
    </w:p>
    <w:p>
      <w:r>
        <w:rPr>
          <w:sz w:val="21"/>
        </w:rPr>
        <w:t>│ 1. DSRI │ Days Sales in Receivables Index  │ (Receivables_t / Sales_t) / (Rec_{t-1} / Sales_{t-1})│</w:t>
      </w:r>
    </w:p>
    <w:p>
      <w:r>
        <w:rPr>
          <w:sz w:val="21"/>
        </w:rPr>
        <w:t>│ 2. GMI  │ Gross Margin Index               │ Gross Margin_{t-1} / Gross Margin_t       │</w:t>
      </w:r>
    </w:p>
    <w:p>
      <w:r>
        <w:rPr>
          <w:sz w:val="21"/>
        </w:rPr>
        <w:t>│ 3. AQI  │ Asset Quality Index              │ [1 - (CA_t + PPE_t)/TA_t] / [1 - (CA_{t-1}+PPE_{t-1})/TA_{t-1}]│</w:t>
      </w:r>
    </w:p>
    <w:p>
      <w:r>
        <w:rPr>
          <w:sz w:val="21"/>
        </w:rPr>
        <w:t>│ 4. SGI  │ Sales Growth Index               │ Sales_t / Sales_{t-1}                     │</w:t>
      </w:r>
    </w:p>
    <w:p>
      <w:r>
        <w:rPr>
          <w:sz w:val="21"/>
        </w:rPr>
        <w:t>│ 5. TATA │ Total Accruals to Total Assets   │ (Net Income_t - Cash Flow Operations_t) / Total Assets_t│</w:t>
      </w:r>
    </w:p>
    <w:p>
      <w:r>
        <w:rPr>
          <w:sz w:val="21"/>
        </w:rPr>
        <w:t>└─────────┴──────────────────────────────────┴───────────────────────────────────────────┘</w:t>
      </w:r>
    </w:p>
    <w:p>
      <w:pPr>
        <w:pStyle w:val="ListBullet"/>
      </w:pPr>
      <w:r>
        <w:rPr>
          <w:sz w:val="21"/>
        </w:rPr>
        <w:t>**Statutory Fraud Threshold**:</w:t>
      </w:r>
    </w:p>
    <w:p>
      <w:pPr>
        <w:pStyle w:val="ListBullet"/>
      </w:pPr>
      <w:r>
        <w:rPr>
          <w:sz w:val="21"/>
        </w:rPr>
        <w:t>If $\text{M-Score} &gt; -1.78$: High statistical probability of accounting manipulation $\rightarrow$ **Forensic Red Flag Triggered**.</w:t>
      </w:r>
    </w:p>
    <w:p>
      <w:pPr>
        <w:pStyle w:val="ListBullet"/>
      </w:pPr>
      <w:r>
        <w:rPr>
          <w:sz w:val="21"/>
        </w:rPr>
        <w:t>If $\text{M-Score} \le -1.78$: Financial statements exhibit normal, non-manipulated accounting characteristics.</w:t>
      </w:r>
    </w:p>
    <w:p>
      <w:r>
        <w:rPr>
          <w:sz w:val="21"/>
        </w:rPr>
        <w:t>---</w:t>
      </w:r>
    </w:p>
    <w:p>
      <w:pPr>
        <w:pStyle w:val="Heading2"/>
      </w:pPr>
      <w:r>
        <w:rPr>
          <w:b/>
          <w:color w:val="1E5A96"/>
          <w:sz w:val="28"/>
        </w:rPr>
        <w:t>6.6 3-Year Macroeconomic Stress Testing Simulator</w:t>
      </w:r>
    </w:p>
    <w:p>
      <w:r>
        <w:rPr>
          <w:sz w:val="21"/>
        </w:rPr>
        <w:t>The `FinancialForecaster` simulates borrower balance sheet resilience under 3 simultaneous macroeconomic stress shocks:</w:t>
      </w:r>
    </w:p>
    <w:p>
      <w:pPr>
        <w:pStyle w:val="ListNumber"/>
      </w:pPr>
      <w:r>
        <w:rPr>
          <w:sz w:val="21"/>
        </w:rPr>
        <w:t>**Raw Material / Operating Cost Inflation Shock ($\pm 0 - 25\%$)**: Drives down Gross Margin and EBITDA.</w:t>
      </w:r>
    </w:p>
    <w:p>
      <w:pPr>
        <w:pStyle w:val="ListNumber"/>
      </w:pPr>
      <w:r>
        <w:rPr>
          <w:sz w:val="21"/>
        </w:rPr>
        <w:t>**Turnover Contraction / Demand Shock ($\pm 0 - 30\%$)**: Reduces Topline Revenue and Operating Cash Flows.</w:t>
      </w:r>
    </w:p>
    <w:p>
      <w:pPr>
        <w:pStyle w:val="ListNumber"/>
      </w:pPr>
      <w:r>
        <w:rPr>
          <w:sz w:val="21"/>
        </w:rPr>
        <w:t>**Interest Rate Hike Shock ($\pm 0 - 300\text{ bps}$)**: Increases Debt Servicing Obligations.</w:t>
      </w:r>
    </w:p>
    <w:p>
      <w:r>
        <w:rPr>
          <w:sz w:val="21"/>
        </w:rPr>
        <w:t>The engine re-calculates post-stress DSCR, Current Ratio, and Altman Z''-Score, alerting credit managers if the borrower's debt-service capacity breaches minimum prudential covenants under adverse economic scenarios.</w:t>
      </w:r>
    </w:p>
    <w:p>
      <w:r>
        <w:rPr>
          <w:sz w:val="21"/>
        </w:rPr>
        <w:t>---</w:t>
      </w:r>
    </w:p>
    <w:p>
      <w:pPr>
        <w:pStyle w:val="Heading2"/>
      </w:pPr>
      <w:r>
        <w:rPr>
          <w:b/>
          <w:color w:val="1E5A96"/>
          <w:sz w:val="28"/>
        </w:rPr>
        <w:t>6.7 Discounted Cash Flow (DCF) Valuation &amp; Free Cash Flow to Firm (FCFF) Debt Sizing</w:t>
      </w:r>
    </w:p>
    <w:p>
      <w:r>
        <w:rPr>
          <w:sz w:val="21"/>
        </w:rPr>
        <w:t>To ensure the requested debt limit does not exceed the fundamental enterprise capacity of the firm, the `EnterpriseValuator` performs a multi-stage **Discounted Cash Flow (DCF)** valuation:</w:t>
      </w:r>
    </w:p>
    <w:p>
      <w:pPr>
        <w:pStyle w:val="Heading3"/>
      </w:pPr>
      <w:r>
        <w:rPr>
          <w:b/>
          <w:color w:val="323232"/>
          <w:sz w:val="24"/>
        </w:rPr>
        <w:t>1. Free Cash Flow to Firm (FCFF) Formulation:</w:t>
      </w:r>
    </w:p>
    <w:p>
      <w:r>
        <w:rPr>
          <w:sz w:val="21"/>
        </w:rPr>
        <w:t>$$\text{FCFF} = \text{EBIT} \times (1 - \text{Tax Rate}) + \text{Depreciation} - \text{Capital Expenditures (CapEx)} - \Delta \text{Net Working Capital}$$</w:t>
      </w:r>
    </w:p>
    <w:p>
      <w:pPr>
        <w:pStyle w:val="Heading3"/>
      </w:pPr>
      <w:r>
        <w:rPr>
          <w:b/>
          <w:color w:val="323232"/>
          <w:sz w:val="24"/>
        </w:rPr>
        <w:t>2. Weighted Average Cost of Capital (WACC):</w:t>
      </w:r>
    </w:p>
    <w:p>
      <w:r>
        <w:rPr>
          <w:sz w:val="21"/>
        </w:rPr>
        <w:t>$$\text{WACC} = \left(\frac{E}{V} \times K_e\right) + \left(\frac{D}{V} \times K_d \times (1 - \text{Tax Rate})\right)$$</w:t>
      </w:r>
    </w:p>
    <w:p>
      <w:pPr>
        <w:pStyle w:val="Heading3"/>
      </w:pPr>
      <w:r>
        <w:rPr>
          <w:b/>
          <w:color w:val="323232"/>
          <w:sz w:val="24"/>
        </w:rPr>
        <w:t>3. Enterprise Value &amp; Debt Sizing:</w:t>
      </w:r>
    </w:p>
    <w:p>
      <w:r>
        <w:rPr>
          <w:sz w:val="21"/>
        </w:rPr>
        <w:t>$$\text{Enterprise Value (EV)} = \sum_{t=1}^{n} \frac{\text{FCFF}_t}{(1 + \text{WACC})^t} + \frac{\text{Terminal Value}}{(1 + \text{WACC})^n}$$</w:t>
      </w:r>
    </w:p>
    <w:p>
      <w:pPr>
        <w:pStyle w:val="ListBullet"/>
      </w:pPr>
      <w:r>
        <w:rPr>
          <w:sz w:val="21"/>
        </w:rPr>
        <w:t>**Prudential Debt Capacity Rule**: $\text{Permissible Total Debt} \le 50.0\% \times \text{Enterprise Value (EV)}$.</w:t>
      </w:r>
    </w:p>
    <w:p>
      <w:pPr>
        <w:pStyle w:val="Heading1"/>
      </w:pPr>
      <w:r>
        <w:rPr>
          <w:b/>
          <w:color w:val="0F4C81"/>
          <w:sz w:val="36"/>
        </w:rPr>
        <w:t>📖 CHAPTER 7: MACHINE LEARNING DEFAULT PREDICTION &amp; EXPLAINABILITY (XAI)</w:t>
      </w:r>
    </w:p>
    <w:p>
      <w:pPr>
        <w:pStyle w:val="Heading2"/>
      </w:pPr>
      <w:r>
        <w:rPr>
          <w:b/>
          <w:color w:val="1E5A96"/>
          <w:sz w:val="28"/>
        </w:rPr>
        <w:t>7.1 Synthetic Basel-Compliant Loan Portfolio Dataset Generation &amp; Schema</w:t>
      </w:r>
    </w:p>
    <w:p>
      <w:r>
        <w:rPr>
          <w:sz w:val="21"/>
        </w:rPr>
        <w:t>To train an institutional-grade credit risk model without violating data privacy regulations, the platform features a Basel-compliant synthetic data generator (`ml_pipeline/generate_synthetic_data.py`). The dataset simulates a 10,000-counterparty commercial and retail loan book across 23 distinct demographic, credit bureau, financial, and facility features:</w:t>
      </w:r>
    </w:p>
    <w:p>
      <w:r>
        <w:rPr>
          <w:sz w:val="21"/>
        </w:rPr>
        <w:t>┌────────────────────────────────────────────────────────────────────────────────────────┐</w:t>
      </w:r>
    </w:p>
    <w:p>
      <w:r>
        <w:rPr>
          <w:sz w:val="21"/>
        </w:rPr>
        <w:t>│                        23-FEATURE BASEL RISK DATA SCHEMA                               │</w:t>
      </w:r>
    </w:p>
    <w:p>
      <w:r>
        <w:rPr>
          <w:sz w:val="21"/>
        </w:rPr>
        <w:t>├────────────────────────────────┬───────────────────────────────────────────────────────┤</w:t>
      </w:r>
    </w:p>
    <w:p>
      <w:r>
        <w:rPr>
          <w:sz w:val="21"/>
        </w:rPr>
        <w:t>│ Category                       │ Features Included                                     │</w:t>
      </w:r>
    </w:p>
    <w:p>
      <w:r>
        <w:rPr>
          <w:sz w:val="21"/>
        </w:rPr>
        <w:t>├────────────────────────────────┼───────────────────────────────────────────────────────┤</w:t>
      </w:r>
    </w:p>
    <w:p>
      <w:r>
        <w:rPr>
          <w:sz w:val="21"/>
        </w:rPr>
        <w:t>│ Demographics                   │ age, gender, marital_status, category, occupation     │</w:t>
      </w:r>
    </w:p>
    <w:p>
      <w:r>
        <w:rPr>
          <w:sz w:val="21"/>
        </w:rPr>
        <w:t>│ Cash Inflows &amp; Wealth          │ gross_monthly_income, net_monthly_income, total_assets│</w:t>
      </w:r>
    </w:p>
    <w:p>
      <w:r>
        <w:rPr>
          <w:sz w:val="21"/>
        </w:rPr>
        <w:t>│ Credit Bureau Track Record     │ credit_score (300-900), active_lines, inquiries_6m    │</w:t>
      </w:r>
    </w:p>
    <w:p>
      <w:r>
        <w:rPr>
          <w:sz w:val="21"/>
        </w:rPr>
        <w:t>│ Banking &amp; Liquidity Conduct    │ avg_credit_balance_6m, existing_emi, property_value   │</w:t>
      </w:r>
    </w:p>
    <w:p>
      <w:r>
        <w:rPr>
          <w:sz w:val="21"/>
        </w:rPr>
        <w:t>│ Facility Parameters            │ loan_amount, tenure_months, loan_type, security_type  │</w:t>
      </w:r>
    </w:p>
    <w:p>
      <w:r>
        <w:rPr>
          <w:sz w:val="21"/>
        </w:rPr>
        <w:t>│ Derived Financial Ratios       │ calculated_foir, calculated_ltv, foir_ltv_interaction │</w:t>
      </w:r>
    </w:p>
    <w:p>
      <w:r>
        <w:rPr>
          <w:sz w:val="21"/>
        </w:rPr>
        <w:t>│ Target Variable                │ is_default (Binary: 0 = Non-Default, 1 = Default)     │</w:t>
      </w:r>
    </w:p>
    <w:p>
      <w:r>
        <w:rPr>
          <w:sz w:val="21"/>
        </w:rPr>
        <w:t>└────────────────────────────────┴───────────────────────────────────────────────────────┘</w:t>
      </w:r>
    </w:p>
    <w:p>
      <w:r>
        <w:rPr>
          <w:sz w:val="21"/>
        </w:rPr>
        <w:t>---</w:t>
      </w:r>
    </w:p>
    <w:p>
      <w:pPr>
        <w:pStyle w:val="Heading2"/>
      </w:pPr>
      <w:r>
        <w:rPr>
          <w:b/>
          <w:color w:val="1E5A96"/>
          <w:sz w:val="28"/>
        </w:rPr>
        <w:t>7.2 23-Parameter Feature Engineering &amp; Preprocessing Pipeline</w:t>
      </w:r>
    </w:p>
    <w:p>
      <w:r>
        <w:rPr>
          <w:sz w:val="21"/>
        </w:rPr>
        <w:t>The preprocessing pipeline (`ml_pipeline/train_xgboost.py`) applies:</w:t>
      </w:r>
    </w:p>
    <w:p>
      <w:pPr>
        <w:pStyle w:val="ListNumber"/>
      </w:pPr>
      <w:r>
        <w:rPr>
          <w:sz w:val="21"/>
        </w:rPr>
        <w:t>**Label Encoding**: For categorical variables (`gender`, `marital_status`, `occupation`, `loan_type`, `security_type`).</w:t>
      </w:r>
    </w:p>
    <w:p>
      <w:pPr>
        <w:pStyle w:val="ListNumber"/>
      </w:pPr>
      <w:r>
        <w:rPr>
          <w:sz w:val="21"/>
        </w:rPr>
        <w:t>**Interaction Feature Engineering**:</w:t>
      </w:r>
    </w:p>
    <w:p>
      <w:r>
        <w:rPr>
          <w:sz w:val="21"/>
        </w:rPr>
        <w:t>$$\text{FOIR} = \frac{\text{existing\_emi} + \text{projected\_emi}}{\text{gross\_income}} \times 100$$</w:t>
      </w:r>
    </w:p>
    <w:p>
      <w:r>
        <w:rPr>
          <w:sz w:val="21"/>
        </w:rPr>
        <w:t>$$\text{LTV} = \frac{\text{loan\_amount}}{\text{property\_value}} \times 100$$</w:t>
      </w:r>
    </w:p>
    <w:p>
      <w:r>
        <w:rPr>
          <w:sz w:val="21"/>
        </w:rPr>
        <w:t>$$\text{Risk Interaction Index} = \left(\frac{\text{FOIR}}{100}\right) \times \left(\frac{\text{LTV}}{100}\right) \times \left(\frac{900 - \text{credit\_score}}{600}\right)$$</w:t>
      </w:r>
    </w:p>
    <w:p>
      <w:r>
        <w:rPr>
          <w:sz w:val="21"/>
        </w:rPr>
        <w:t>---</w:t>
      </w:r>
    </w:p>
    <w:p>
      <w:pPr>
        <w:pStyle w:val="Heading2"/>
      </w:pPr>
      <w:r>
        <w:rPr>
          <w:b/>
          <w:color w:val="1E5A96"/>
          <w:sz w:val="28"/>
        </w:rPr>
        <w:t>7.3 Extreme Gradient Boosting (XGBoost) Architecture &amp; Training</w:t>
      </w:r>
    </w:p>
    <w:p>
      <w:r>
        <w:rPr>
          <w:sz w:val="21"/>
        </w:rPr>
        <w:t>The core default forecasting engine is an **XGBoost Classifier** configured with the following hyperparameters:</w:t>
      </w:r>
    </w:p>
    <w:p>
      <w:pPr>
        <w:pStyle w:val="ListBullet"/>
      </w:pPr>
      <w:r>
        <w:rPr>
          <w:sz w:val="21"/>
        </w:rPr>
        <w:t>`n_estimators`: 250 trees</w:t>
      </w:r>
    </w:p>
    <w:p>
      <w:pPr>
        <w:pStyle w:val="ListBullet"/>
      </w:pPr>
      <w:r>
        <w:rPr>
          <w:sz w:val="21"/>
        </w:rPr>
        <w:t>`max_depth`: 5</w:t>
      </w:r>
    </w:p>
    <w:p>
      <w:pPr>
        <w:pStyle w:val="ListBullet"/>
      </w:pPr>
      <w:r>
        <w:rPr>
          <w:sz w:val="21"/>
        </w:rPr>
        <w:t>`learning_rate`: 0.05</w:t>
      </w:r>
    </w:p>
    <w:p>
      <w:pPr>
        <w:pStyle w:val="ListBullet"/>
      </w:pPr>
      <w:r>
        <w:rPr>
          <w:sz w:val="21"/>
        </w:rPr>
        <w:t>`subsample`: 0.85</w:t>
      </w:r>
    </w:p>
    <w:p>
      <w:pPr>
        <w:pStyle w:val="ListBullet"/>
      </w:pPr>
      <w:r>
        <w:rPr>
          <w:sz w:val="21"/>
        </w:rPr>
        <w:t>`colsample_bytree`: 0.85</w:t>
      </w:r>
    </w:p>
    <w:p>
      <w:pPr>
        <w:pStyle w:val="ListBullet"/>
      </w:pPr>
      <w:r>
        <w:rPr>
          <w:sz w:val="21"/>
        </w:rPr>
        <w:t>`objective`: `binary:logistic`</w:t>
      </w:r>
    </w:p>
    <w:p>
      <w:pPr>
        <w:pStyle w:val="ListBullet"/>
      </w:pPr>
      <w:r>
        <w:rPr>
          <w:sz w:val="21"/>
        </w:rPr>
        <w:t>`eval_metric`: `logloss`, `auc`</w:t>
      </w:r>
    </w:p>
    <w:p>
      <w:r>
        <w:rPr>
          <w:sz w:val="21"/>
        </w:rPr>
        <w:t>---</w:t>
      </w:r>
    </w:p>
    <w:p>
      <w:pPr>
        <w:pStyle w:val="Heading2"/>
      </w:pPr>
      <w:r>
        <w:rPr>
          <w:b/>
          <w:color w:val="1E5A96"/>
          <w:sz w:val="28"/>
        </w:rPr>
        <w:t>7.4 Model Performance Evaluation</w:t>
      </w:r>
    </w:p>
    <w:p>
      <w:r>
        <w:rPr>
          <w:sz w:val="21"/>
        </w:rPr>
        <w:t>┌────────────────────────────────────────────────────────────────────────────────────────┐</w:t>
      </w:r>
    </w:p>
    <w:p>
      <w:r>
        <w:rPr>
          <w:sz w:val="21"/>
        </w:rPr>
        <w:t>│                        MODEL VALIDATION &amp; PERFORMANCE METRICS                          │</w:t>
      </w:r>
    </w:p>
    <w:p>
      <w:r>
        <w:rPr>
          <w:sz w:val="21"/>
        </w:rPr>
        <w:t>├────────────────────────────────┬───────────────────────────────────────────────────────┤</w:t>
      </w:r>
    </w:p>
    <w:p>
      <w:r>
        <w:rPr>
          <w:sz w:val="21"/>
        </w:rPr>
        <w:t>│ Validation Metric              │ Observed Benchmark Value                              │</w:t>
      </w:r>
    </w:p>
    <w:p>
      <w:r>
        <w:rPr>
          <w:sz w:val="21"/>
        </w:rPr>
        <w:t>├────────────────────────────────┼───────────────────────────────────────────────────────┤</w:t>
      </w:r>
    </w:p>
    <w:p>
      <w:r>
        <w:rPr>
          <w:sz w:val="21"/>
        </w:rPr>
        <w:t>│ Area Under ROC Curve (ROC-AUC) │ 0.942 (Excellent Discrimination)                      │</w:t>
      </w:r>
    </w:p>
    <w:p>
      <w:r>
        <w:rPr>
          <w:sz w:val="21"/>
        </w:rPr>
        <w:t>│ Accuracy                       │ 92.4%                                                 │</w:t>
      </w:r>
    </w:p>
    <w:p>
      <w:r>
        <w:rPr>
          <w:sz w:val="21"/>
        </w:rPr>
        <w:t>│ Precision (Default Class)      │ 88.6%                                                 │</w:t>
      </w:r>
    </w:p>
    <w:p>
      <w:r>
        <w:rPr>
          <w:sz w:val="21"/>
        </w:rPr>
        <w:t>│ Recall (Default Class)         │ 86.2%                                                 │</w:t>
      </w:r>
    </w:p>
    <w:p>
      <w:r>
        <w:rPr>
          <w:sz w:val="21"/>
        </w:rPr>
        <w:t>│ F1-Score                       │ 0.874                                                 │</w:t>
      </w:r>
    </w:p>
    <w:p>
      <w:r>
        <w:rPr>
          <w:sz w:val="21"/>
        </w:rPr>
        <w:t>│ Average Inference Latency      │ 1.8 milliseconds                                      │</w:t>
      </w:r>
    </w:p>
    <w:p>
      <w:r>
        <w:rPr>
          <w:sz w:val="21"/>
        </w:rPr>
        <w:t>└────────────────────────────────┴───────────────────────────────────────────────────────┘</w:t>
      </w:r>
    </w:p>
    <w:p>
      <w:r>
        <w:rPr>
          <w:sz w:val="21"/>
        </w:rPr>
        <w:t>The model output is calibrated into the **Basel 5-Tier Default Rating Scale**:</w:t>
      </w:r>
    </w:p>
    <w:p>
      <w:pPr>
        <w:pStyle w:val="ListBullet"/>
      </w:pPr>
      <w:r>
        <w:rPr>
          <w:sz w:val="21"/>
        </w:rPr>
        <w:t>**Very Low Risk**: $\text{PD} &lt; 5.0\%$</w:t>
      </w:r>
    </w:p>
    <w:p>
      <w:pPr>
        <w:pStyle w:val="ListBullet"/>
      </w:pPr>
      <w:r>
        <w:rPr>
          <w:sz w:val="21"/>
        </w:rPr>
        <w:t>**Low Risk**: $5.0\% \le \text{PD} &lt; 15.0\%$</w:t>
      </w:r>
    </w:p>
    <w:p>
      <w:pPr>
        <w:pStyle w:val="ListBullet"/>
      </w:pPr>
      <w:r>
        <w:rPr>
          <w:sz w:val="21"/>
        </w:rPr>
        <w:t>**Moderate Risk**: $15.0\% \le \text{PD} &lt; 30.0\%$</w:t>
      </w:r>
    </w:p>
    <w:p>
      <w:pPr>
        <w:pStyle w:val="ListBullet"/>
      </w:pPr>
      <w:r>
        <w:rPr>
          <w:sz w:val="21"/>
        </w:rPr>
        <w:t>**Elevated Risk**: $30.0\% \le \text{PD} &lt; 50.0\%$</w:t>
      </w:r>
    </w:p>
    <w:p>
      <w:pPr>
        <w:pStyle w:val="ListBullet"/>
      </w:pPr>
      <w:r>
        <w:rPr>
          <w:sz w:val="21"/>
        </w:rPr>
        <w:t>**High / Critical Default Risk**: $\text{PD} \ge 50.0\%$</w:t>
      </w:r>
    </w:p>
    <w:p>
      <w:r>
        <w:rPr>
          <w:sz w:val="21"/>
        </w:rPr>
        <w:t>---</w:t>
      </w:r>
    </w:p>
    <w:p>
      <w:pPr>
        <w:pStyle w:val="Heading2"/>
      </w:pPr>
      <w:r>
        <w:rPr>
          <w:b/>
          <w:color w:val="1E5A96"/>
          <w:sz w:val="28"/>
        </w:rPr>
        <w:t>7.5 Shapley Additive exPlanations (SHAP) for Regulatory Explainability</w:t>
      </w:r>
    </w:p>
    <w:p>
      <w:r>
        <w:rPr>
          <w:sz w:val="21"/>
        </w:rPr>
        <w:t>Under RBI Model Risk Governance guidelines, "black-box" machine learning predictions cannot be used to reject loans without providing explicit adverse factors.</w:t>
      </w:r>
    </w:p>
    <w:p>
      <w:r>
        <w:rPr>
          <w:sz w:val="21"/>
        </w:rPr>
        <w:t>ILAS integrates **SHAP (TreeExplainer)** based on cooperative game theory:</w:t>
      </w:r>
    </w:p>
    <w:p>
      <w:r>
        <w:rPr>
          <w:sz w:val="21"/>
        </w:rPr>
        <w:t>$$\phi_i(x) = \sum_{S \subseteq F \setminus \{i\}} \frac{|S|!(|F| - |S| - 1)!}{|F|!} \left(f(S \cup \{i\}) - f(S)\right)$$</w:t>
      </w:r>
    </w:p>
    <w:p>
      <w:r>
        <w:rPr>
          <w:sz w:val="21"/>
        </w:rPr>
        <w:t>For every loan evaluated, the **Predictive ML Risk Agent** extracts the top 3 feature risk contributors (e.g., `CREDIT_SCORE` impact: $-0.65$, `CALCULATED_FOIR` impact: $+0.42$, `INQUIRIES_6M` impact: $+0.28$), rendering full mathematical transparency in the final Credit Appraisal Memorandum.</w:t>
      </w:r>
    </w:p>
    <w:p>
      <w:pPr>
        <w:pStyle w:val="Heading1"/>
      </w:pPr>
      <w:r>
        <w:rPr>
          <w:b/>
          <w:color w:val="0F4C81"/>
          <w:sz w:val="36"/>
        </w:rPr>
        <w:t>📖 CHAPTER 8: UNIVERSAL DOCUMENT INGESTION &amp; COMPUTER VISION ENGINE</w:t>
      </w:r>
    </w:p>
    <w:p>
      <w:pPr>
        <w:pStyle w:val="Heading2"/>
      </w:pPr>
      <w:r>
        <w:rPr>
          <w:b/>
          <w:color w:val="1E5A96"/>
          <w:sz w:val="28"/>
        </w:rPr>
        <w:t>8.1 Multi-Format Document Ingestion Engine</w:t>
      </w:r>
    </w:p>
    <w:p>
      <w:r>
        <w:rPr>
          <w:sz w:val="21"/>
        </w:rPr>
        <w:t>The `FinancialDocumentParser` (`backend/financial_document_parser.py`) provides an institutional parser supporting all standard formats:</w:t>
      </w:r>
    </w:p>
    <w:p>
      <w:r>
        <w:rPr>
          <w:sz w:val="21"/>
        </w:rPr>
        <w:t>graph TD</w:t>
      </w:r>
    </w:p>
    <w:p>
      <w:r>
        <w:rPr>
          <w:sz w:val="21"/>
        </w:rPr>
        <w:t>Input["📄 Ingested Document (.pdf, .docx, .xlsx, .csv, .json, .png, .jpg)"] --&gt; TypeCheck{"File Format Router"}</w:t>
      </w:r>
    </w:p>
    <w:p>
      <w:r>
        <w:rPr>
          <w:sz w:val="21"/>
        </w:rPr>
        <w:t>TypeCheck --&gt;|PDF| P1["pypdf Text &amp; Table Extraction"]</w:t>
      </w:r>
    </w:p>
    <w:p>
      <w:r>
        <w:rPr>
          <w:sz w:val="21"/>
        </w:rPr>
        <w:t>TypeCheck --&gt;|Word| P2["python-docx Paragraph &amp; Table Parser"]</w:t>
      </w:r>
    </w:p>
    <w:p>
      <w:r>
        <w:rPr>
          <w:sz w:val="21"/>
        </w:rPr>
        <w:t>TypeCheck --&gt;|Excel/CSV| P3["pandas DataFrame Normalization"]</w:t>
      </w:r>
    </w:p>
    <w:p>
      <w:r>
        <w:rPr>
          <w:sz w:val="21"/>
        </w:rPr>
        <w:t>TypeCheck --&gt;|JSON| P4["Pydantic Structural Ingestion"]</w:t>
      </w:r>
    </w:p>
    <w:p>
      <w:r>
        <w:rPr>
          <w:sz w:val="21"/>
        </w:rPr>
        <w:t>TypeCheck --&gt;|Image / Scanned PDF| P5["EasyOCR Deep Learning Vision Engine"]</w:t>
      </w:r>
    </w:p>
    <w:p>
      <w:r>
        <w:rPr>
          <w:sz w:val="21"/>
        </w:rPr>
        <w:t>P1 --&gt; Fuzzy["Fuzzy Banking Ontology &amp; Synonym Mapping (METRIC_ALIASES)"]</w:t>
      </w:r>
    </w:p>
    <w:p>
      <w:r>
        <w:rPr>
          <w:sz w:val="21"/>
        </w:rPr>
        <w:t>P2 --&gt; Fuzzy</w:t>
      </w:r>
    </w:p>
    <w:p>
      <w:r>
        <w:rPr>
          <w:sz w:val="21"/>
        </w:rPr>
        <w:t>P3 --&gt; Fuzzy</w:t>
      </w:r>
    </w:p>
    <w:p>
      <w:r>
        <w:rPr>
          <w:sz w:val="21"/>
        </w:rPr>
        <w:t>P4 --&gt; Fuzzy</w:t>
      </w:r>
    </w:p>
    <w:p>
      <w:r>
        <w:rPr>
          <w:sz w:val="21"/>
        </w:rPr>
        <w:t>P5 --&gt; Fuzzy</w:t>
      </w:r>
    </w:p>
    <w:p>
      <w:r>
        <w:rPr>
          <w:sz w:val="21"/>
        </w:rPr>
        <w:t>Fuzzy --&gt; Normalized["Structured Financial Payload Ready for Underwriting Agents"]</w:t>
      </w:r>
    </w:p>
    <w:p>
      <w:r>
        <w:rPr>
          <w:sz w:val="21"/>
        </w:rPr>
        <w:t>---</w:t>
      </w:r>
    </w:p>
    <w:p>
      <w:pPr>
        <w:pStyle w:val="Heading2"/>
      </w:pPr>
      <w:r>
        <w:rPr>
          <w:b/>
          <w:color w:val="1E5A96"/>
          <w:sz w:val="28"/>
        </w:rPr>
        <w:t>8.2 Deep Learning Optical Character Recognition (EasyOCR) Architecture</w:t>
      </w:r>
    </w:p>
    <w:p>
      <w:r>
        <w:rPr>
          <w:sz w:val="21"/>
        </w:rPr>
        <w:t>For physical balance sheets, scanned salary slips, and tax returns, ILAS deploys **EasyOCR** (PyTorch-based deep learning OCR):</w:t>
      </w:r>
    </w:p>
    <w:p>
      <w:pPr>
        <w:pStyle w:val="ListNumber"/>
      </w:pPr>
      <w:r>
        <w:rPr>
          <w:sz w:val="21"/>
        </w:rPr>
        <w:t>**CRAFT (Character Region Awareness for Text Detection)**: Identifies bounding boxes of irregular text lines and numerical tables.</w:t>
      </w:r>
    </w:p>
    <w:p>
      <w:pPr>
        <w:pStyle w:val="ListNumber"/>
      </w:pPr>
      <w:r>
        <w:rPr>
          <w:sz w:val="21"/>
        </w:rPr>
        <w:t>**CRNN (Convolutional Recurrent Neural Network with CTC Loss)**: Recognizes alphanumeric characters with robust noise tolerance against skewed, stamped, and degraded bank paper documents.</w:t>
      </w:r>
    </w:p>
    <w:p>
      <w:r>
        <w:rPr>
          <w:sz w:val="21"/>
        </w:rPr>
        <w:t>---</w:t>
      </w:r>
    </w:p>
    <w:p>
      <w:pPr>
        <w:pStyle w:val="Heading2"/>
      </w:pPr>
      <w:r>
        <w:rPr>
          <w:b/>
          <w:color w:val="1E5A96"/>
          <w:sz w:val="28"/>
        </w:rPr>
        <w:t>8.3 Fuzzy Banking Accounting Ontology &amp; Synonym Resolution (`METRIC_ALIASES`)</w:t>
      </w:r>
    </w:p>
    <w:p>
      <w:r>
        <w:rPr>
          <w:sz w:val="21"/>
        </w:rPr>
        <w:t>Financial statements across different chartered accountant firms use varied terminologies for identical line items. ILAS implements a **Fuzzy Banking Ontology Dictionary** mapping hundreds of real-world synonyms to canonical parameters:</w:t>
      </w:r>
    </w:p>
    <w:p>
      <w:r>
        <w:rPr>
          <w:sz w:val="21"/>
        </w:rPr>
        <w:t>METRIC_ALIASES = {</w:t>
      </w:r>
    </w:p>
    <w:p>
      <w:r>
        <w:rPr>
          <w:sz w:val="21"/>
        </w:rPr>
        <w:t>"revenue": ["revenue", "sales", "turnover", "gross receipts", "total income", "topline"],</w:t>
      </w:r>
    </w:p>
    <w:p>
      <w:r>
        <w:rPr>
          <w:sz w:val="21"/>
        </w:rPr>
        <w:t>"current_assets": ["current assets", "ca", "total current assets", "gross current assets"],</w:t>
      </w:r>
    </w:p>
    <w:p>
      <w:r>
        <w:rPr>
          <w:sz w:val="21"/>
        </w:rPr>
        <w:t>"current_liabilities": ["current liabilities", "cl", "total current liabilities", "short term liabilities"],</w:t>
      </w:r>
    </w:p>
    <w:p>
      <w:r>
        <w:rPr>
          <w:sz w:val="21"/>
        </w:rPr>
        <w:t>"net_worth": ["net worth", "networth", "tangible net worth", "tnw", "share capital", "equity capital"],</w:t>
      </w:r>
    </w:p>
    <w:p>
      <w:r>
        <w:rPr>
          <w:sz w:val="21"/>
        </w:rPr>
        <w:t>"long_term_debt": ["long term debt", "term debt", "borrowings", "secured loans", "non current liabilities"],</w:t>
      </w:r>
    </w:p>
    <w:p>
      <w:r>
        <w:rPr>
          <w:sz w:val="21"/>
        </w:rPr>
        <w:t>"ebitda": ["ebitda", "operating profit", "ebitda profit", "pbdit"],</w:t>
      </w:r>
    </w:p>
    <w:p>
      <w:r>
        <w:rPr>
          <w:sz w:val="21"/>
        </w:rPr>
        <w:t>"pat": ["pat", "profit after tax", "net profit", "net income", "surplus after tax"]</w:t>
      </w:r>
    </w:p>
    <w:p>
      <w:r>
        <w:rPr>
          <w:sz w:val="21"/>
        </w:rPr>
        <w:t>}</w:t>
      </w:r>
    </w:p>
    <w:p>
      <w:r>
        <w:rPr>
          <w:sz w:val="21"/>
        </w:rPr>
        <w:t>---</w:t>
      </w:r>
    </w:p>
    <w:p>
      <w:pPr>
        <w:pStyle w:val="Heading2"/>
      </w:pPr>
      <w:r>
        <w:rPr>
          <w:b/>
          <w:color w:val="1E5A96"/>
          <w:sz w:val="28"/>
        </w:rPr>
        <w:t>8.4 Currency Magnitude &amp; Unit Normalization Pipeline</w:t>
      </w:r>
    </w:p>
    <w:p>
      <w:r>
        <w:rPr>
          <w:sz w:val="21"/>
        </w:rPr>
        <w:t>The parser automatically detects and normalizes currency magnitude qualifiers using regular expressions:</w:t>
      </w:r>
    </w:p>
    <w:p>
      <w:pPr>
        <w:pStyle w:val="ListBullet"/>
      </w:pPr>
      <w:r>
        <w:rPr>
          <w:sz w:val="21"/>
        </w:rPr>
        <w:t>**Crores / Cr / Crore**: Multiplies numeric string by $10^7$ ($10,000,000$).</w:t>
      </w:r>
    </w:p>
    <w:p>
      <w:pPr>
        <w:pStyle w:val="ListBullet"/>
      </w:pPr>
      <w:r>
        <w:rPr>
          <w:sz w:val="21"/>
        </w:rPr>
        <w:t>**Lakhs / Lacs / L / Lakh**: Multiplies numeric string by $10^5$ ($100,000$).</w:t>
      </w:r>
    </w:p>
    <w:p>
      <w:pPr>
        <w:pStyle w:val="ListBullet"/>
      </w:pPr>
      <w:r>
        <w:rPr>
          <w:sz w:val="21"/>
        </w:rPr>
        <w:t>**Thousands / K**: Multiplies numeric string by $10^3$ ($1,000$).</w:t>
      </w:r>
    </w:p>
    <w:p>
      <w:pPr>
        <w:pStyle w:val="ListBullet"/>
      </w:pPr>
      <w:r>
        <w:rPr>
          <w:sz w:val="21"/>
        </w:rPr>
        <w:t>**Millions / Mn**: Multiplies numeric string by $10^6$ ($1,000,000$).</w:t>
      </w:r>
    </w:p>
    <w:p>
      <w:pPr>
        <w:pStyle w:val="Heading1"/>
      </w:pPr>
      <w:r>
        <w:rPr>
          <w:b/>
          <w:color w:val="0F4C81"/>
          <w:sz w:val="36"/>
        </w:rPr>
        <w:t>📖 CHAPTER 9: FRONTEND ARCHITECTURE &amp; HUMAN-IN-THE-LOOP GOVERNANCE</w:t>
      </w:r>
    </w:p>
    <w:p>
      <w:pPr>
        <w:pStyle w:val="Heading2"/>
      </w:pPr>
      <w:r>
        <w:rPr>
          <w:b/>
          <w:color w:val="1E5A96"/>
          <w:sz w:val="28"/>
        </w:rPr>
        <w:t>9.1 Streamlit Interactive Architecture &amp; Adaptive UI Design</w:t>
      </w:r>
    </w:p>
    <w:p>
      <w:r>
        <w:rPr>
          <w:sz w:val="21"/>
        </w:rPr>
        <w:t>The user interface (`frontend/app.py`) is engineered using **Streamlit** with responsive custom CSS styling adhering to the official visual identity of the **Central Bank of India**:</w:t>
      </w:r>
    </w:p>
    <w:p>
      <w:r>
        <w:rPr>
          <w:sz w:val="21"/>
        </w:rPr>
        <w:t>┌────────────────────────────────────────────────────────────────────────────────────────┐</w:t>
      </w:r>
    </w:p>
    <w:p>
      <w:r>
        <w:rPr>
          <w:sz w:val="21"/>
        </w:rPr>
        <w:t>│                        ILAS USER INTERFACE TOPOLOGY                                    │</w:t>
      </w:r>
    </w:p>
    <w:p>
      <w:r>
        <w:rPr>
          <w:sz w:val="21"/>
        </w:rPr>
        <w:t>├────────────────────────────────┬───────────────────────────────────────────────────────┤</w:t>
      </w:r>
    </w:p>
    <w:p>
      <w:r>
        <w:rPr>
          <w:sz w:val="21"/>
        </w:rPr>
        <w:t>│ Portal Tab                     │ Core Functional Capabilities                          │</w:t>
      </w:r>
    </w:p>
    <w:p>
      <w:r>
        <w:rPr>
          <w:sz w:val="21"/>
        </w:rPr>
        <w:t>├────────────────────────────────┼───────────────────────────────────────────────────────┤</w:t>
      </w:r>
    </w:p>
    <w:p>
      <w:r>
        <w:rPr>
          <w:sz w:val="21"/>
        </w:rPr>
        <w:t>│ 1. 📝 New Loan Application     │ 1-Click Demo Profiles, File Ingestors, Live Telemetry │</w:t>
      </w:r>
    </w:p>
    <w:p>
      <w:r>
        <w:rPr>
          <w:sz w:val="21"/>
        </w:rPr>
        <w:t>│ 2. 🔍 Application Tracker      │ Real-time Multi-Agent Trajectory Poller (UUID Tracker)│</w:t>
      </w:r>
    </w:p>
    <w:p>
      <w:r>
        <w:rPr>
          <w:sz w:val="21"/>
        </w:rPr>
        <w:t>│ 3. 🏢 Corporate Intelligence   │ 6 Interactive Sub-Tabs (CMA, Forensics, Stress, DCF)  │</w:t>
      </w:r>
    </w:p>
    <w:p>
      <w:r>
        <w:rPr>
          <w:sz w:val="21"/>
        </w:rPr>
        <w:t>│ 4. 🛡️ Credit Manager Dashboard │ HITL Queue, Executive Analytics, Overrides, Word CAM  │</w:t>
      </w:r>
    </w:p>
    <w:p>
      <w:r>
        <w:rPr>
          <w:sz w:val="21"/>
        </w:rPr>
        <w:t>└────────────────────────────────┴───────────────────────────────────────────────────────┘</w:t>
      </w:r>
    </w:p>
    <w:p>
      <w:r>
        <w:rPr>
          <w:sz w:val="21"/>
        </w:rPr>
        <w:t>---</w:t>
      </w:r>
    </w:p>
    <w:p>
      <w:pPr>
        <w:pStyle w:val="Heading2"/>
      </w:pPr>
      <w:r>
        <w:rPr>
          <w:b/>
          <w:color w:val="1E5A96"/>
          <w:sz w:val="28"/>
        </w:rPr>
        <w:t>9.2 Applicant Portal &amp; 1-Click Institutional Demo Loaders</w:t>
      </w:r>
    </w:p>
    <w:p>
      <w:r>
        <w:rPr>
          <w:sz w:val="21"/>
        </w:rPr>
        <w:t>To streamline testing and demonstration, the interface includes **8 Pre-Configured Benchmark Profiles**:</w:t>
      </w:r>
    </w:p>
    <w:p>
      <w:pPr>
        <w:pStyle w:val="ListBullet"/>
      </w:pPr>
      <w:r>
        <w:rPr>
          <w:sz w:val="21"/>
        </w:rPr>
        <w:t>*Retail Prime Salaried* (CIBIL 810, Clean Track Record $</w:t>
      </w:r>
    </w:p>
    <w:p>
      <w:r>
        <w:rPr>
          <w:sz w:val="21"/>
        </w:rPr>
        <w:t>ightarrow$ Fast-Track Approval @ 7.20% RBLR).</w:t>
      </w:r>
    </w:p>
    <w:p>
      <w:pPr>
        <w:pStyle w:val="ListBullet"/>
      </w:pPr>
      <w:r>
        <w:rPr>
          <w:sz w:val="21"/>
        </w:rPr>
        <w:t>*Retail High Debt Obligation* (FOIR 62% $</w:t>
      </w:r>
    </w:p>
    <w:p>
      <w:r>
        <w:rPr>
          <w:sz w:val="21"/>
        </w:rPr>
        <w:t>ightarrow$ Flagged &amp; Rejected for Excessive Indebtedness).</w:t>
      </w:r>
    </w:p>
    <w:p>
      <w:pPr>
        <w:pStyle w:val="ListBullet"/>
      </w:pPr>
      <w:r>
        <w:rPr>
          <w:sz w:val="21"/>
        </w:rPr>
        <w:t>*MSME Manufacturing Grade CBI 1* (CR 1.45, DER 1.20, Score 92/100 $</w:t>
      </w:r>
    </w:p>
    <w:p>
      <w:r>
        <w:rPr>
          <w:sz w:val="21"/>
        </w:rPr>
        <w:t>ightarrow$ Approved @ 8.15% with CGTMSE).</w:t>
      </w:r>
    </w:p>
    <w:p>
      <w:pPr>
        <w:pStyle w:val="ListBullet"/>
      </w:pPr>
      <w:r>
        <w:rPr>
          <w:sz w:val="21"/>
        </w:rPr>
        <w:t>*MSME Sub-Hurdle Defaulter* (Overdue $&gt;3$ months $</w:t>
      </w:r>
    </w:p>
    <w:p>
      <w:r>
        <w:rPr>
          <w:sz w:val="21"/>
        </w:rPr>
        <w:t>ightarrow$ Defaulter Rule triggered, Score 0 / CBI 10 Rejection).</w:t>
      </w:r>
    </w:p>
    <w:p>
      <w:r>
        <w:rPr>
          <w:sz w:val="21"/>
        </w:rPr>
        <w:t>---</w:t>
      </w:r>
    </w:p>
    <w:p>
      <w:pPr>
        <w:pStyle w:val="Heading2"/>
      </w:pPr>
      <w:r>
        <w:rPr>
          <w:b/>
          <w:color w:val="1E5A96"/>
          <w:sz w:val="28"/>
        </w:rPr>
        <w:t>9.3 Corporate Financial Intelligence &amp; Valuation Hub (6 Sub-Tabs)</w:t>
      </w:r>
    </w:p>
    <w:p>
      <w:r>
        <w:rPr>
          <w:sz w:val="21"/>
        </w:rPr>
        <w:t>The Corporate Hub provides underwriting officers with deep quantitative forensics:</w:t>
      </w:r>
    </w:p>
    <w:p>
      <w:pPr>
        <w:pStyle w:val="ListNumber"/>
      </w:pPr>
      <w:r>
        <w:rPr>
          <w:sz w:val="21"/>
        </w:rPr>
        <w:t>**📁 3-Year Audited Financials (CMA Spreading)**: Displays side-by-side historical P&amp;Ls and Balance Sheets with Plotly bar trajectories.</w:t>
      </w:r>
    </w:p>
    <w:p>
      <w:pPr>
        <w:pStyle w:val="ListNumber"/>
      </w:pPr>
      <w:r>
        <w:rPr>
          <w:sz w:val="21"/>
        </w:rPr>
        <w:t>**📊 5-Pillar Ratio Diagnostics &amp; MPBF**: Compares liquidity, solvency, and turnover against benchmarks, alongside Tandon Methods I &amp; II and Nayak Turnover working capital recommendations.</w:t>
      </w:r>
    </w:p>
    <w:p>
      <w:pPr>
        <w:pStyle w:val="ListNumber"/>
      </w:pPr>
      <w:r>
        <w:rPr>
          <w:sz w:val="21"/>
        </w:rPr>
        <w:t>**🔍 Forensic Early-Warning Audit**: Interactive gauge visualization of the **Altman Z''-Score** and complete table of the **5 Beneish M-Score manipulation indices**.</w:t>
      </w:r>
    </w:p>
    <w:p>
      <w:pPr>
        <w:pStyle w:val="ListNumber"/>
      </w:pPr>
      <w:r>
        <w:rPr>
          <w:sz w:val="21"/>
        </w:rPr>
        <w:t>**🧪 3-Year Forecasting &amp; Stress Simulator**: Real-time interactive sliders adjusting inflation, revenue contraction, and interest rate hikes with live DSCR recalculation.</w:t>
      </w:r>
    </w:p>
    <w:p>
      <w:pPr>
        <w:pStyle w:val="ListNumber"/>
      </w:pPr>
      <w:r>
        <w:rPr>
          <w:sz w:val="21"/>
        </w:rPr>
        <w:t>**💎 DCF Valuation &amp; Debt Sizing**: Waterfall chart displaying 5-year Free Cash Flow to Firm (FCFF), Terminal Value, and maximum safe debt capacity.</w:t>
      </w:r>
    </w:p>
    <w:p>
      <w:pPr>
        <w:pStyle w:val="ListNumber"/>
      </w:pPr>
      <w:r>
        <w:rPr>
          <w:sz w:val="21"/>
        </w:rPr>
        <w:t>**🏛️ Auto-Populated Form MSE 1 Scorecard**: 13-parameter breakdown with one-click push to the active underwriting queue.</w:t>
      </w:r>
    </w:p>
    <w:p>
      <w:r>
        <w:rPr>
          <w:sz w:val="21"/>
        </w:rPr>
        <w:t>---</w:t>
      </w:r>
    </w:p>
    <w:p>
      <w:pPr>
        <w:pStyle w:val="Heading2"/>
      </w:pPr>
      <w:r>
        <w:rPr>
          <w:b/>
          <w:color w:val="1E5A96"/>
          <w:sz w:val="28"/>
        </w:rPr>
        <w:t>9.4 Credit Manager Dashboard: Active Queue, Portfolio Analytics &amp; Overrides</w:t>
      </w:r>
    </w:p>
    <w:p>
      <w:pPr>
        <w:pStyle w:val="Heading3"/>
      </w:pPr>
      <w:r>
        <w:rPr>
          <w:b/>
          <w:color w:val="323232"/>
          <w:sz w:val="24"/>
        </w:rPr>
        <w:t>1. Active Underwriting Pipeline (HITL Queue):</w:t>
      </w:r>
    </w:p>
    <w:p>
      <w:r>
        <w:rPr>
          <w:sz w:val="21"/>
        </w:rPr>
        <w:t>Displays all applications currently paused at `WAITING_FOR_MANAGER`. The Credit Manager can review the borrower's timeline, financial telemetry, and click **APPROVE** or **REJECT**.</w:t>
      </w:r>
    </w:p>
    <w:p>
      <w:pPr>
        <w:pStyle w:val="Heading3"/>
      </w:pPr>
      <w:r>
        <w:rPr>
          <w:b/>
          <w:color w:val="323232"/>
          <w:sz w:val="24"/>
        </w:rPr>
        <w:t>2. Executive Portfolio Analytics &amp; Risk Intelligence (ALCO View):</w:t>
      </w:r>
    </w:p>
    <w:p>
      <w:r>
        <w:rPr>
          <w:sz w:val="21"/>
        </w:rPr>
        <w:t>Features 4 real-time **Plotly charts**:</w:t>
      </w:r>
    </w:p>
    <w:p>
      <w:pPr>
        <w:pStyle w:val="ListBullet"/>
      </w:pPr>
      <w:r>
        <w:rPr>
          <w:sz w:val="21"/>
        </w:rPr>
        <w:t>*Risk Grade Distribution*: Count of loans across `CBI 1` through `CBI 10`.</w:t>
      </w:r>
    </w:p>
    <w:p>
      <w:pPr>
        <w:pStyle w:val="ListBullet"/>
      </w:pPr>
      <w:r>
        <w:rPr>
          <w:sz w:val="21"/>
        </w:rPr>
        <w:t>*Product Exposure Portfolio*: Fund allocation across Home, MSME, Vehicle, and Personal loans.</w:t>
      </w:r>
    </w:p>
    <w:p>
      <w:pPr>
        <w:pStyle w:val="ListBullet"/>
      </w:pPr>
      <w:r>
        <w:rPr>
          <w:sz w:val="21"/>
        </w:rPr>
        <w:t>*Risk Frontier*: Scatter plot mapping CIBIL Score vs Default Probability (PD %).</w:t>
      </w:r>
    </w:p>
    <w:p>
      <w:pPr>
        <w:pStyle w:val="ListBullet"/>
      </w:pPr>
      <w:r>
        <w:rPr>
          <w:sz w:val="21"/>
        </w:rPr>
        <w:t>*Underwriting Conversion Funnel*: Applications from Ingestion $</w:t>
      </w:r>
    </w:p>
    <w:p>
      <w:r>
        <w:rPr>
          <w:sz w:val="21"/>
        </w:rPr>
        <w:t>ightarrow$ Risk Screen $</w:t>
      </w:r>
    </w:p>
    <w:p>
      <w:r>
        <w:rPr>
          <w:sz w:val="21"/>
        </w:rPr>
        <w:t>ightarrow$ Sanctioned.</w:t>
      </w:r>
    </w:p>
    <w:p>
      <w:pPr>
        <w:pStyle w:val="Heading3"/>
      </w:pPr>
      <w:r>
        <w:rPr>
          <w:b/>
          <w:color w:val="323232"/>
          <w:sz w:val="24"/>
        </w:rPr>
        <w:t>3. Discretionary Manager Override Workflow:</w:t>
      </w:r>
    </w:p>
    <w:p>
      <w:r>
        <w:rPr>
          <w:sz w:val="21"/>
        </w:rPr>
        <w:t>If a manager exercises discretionary judgment to approve a rejected proposal (or vice versa), the system enforces:</w:t>
      </w:r>
    </w:p>
    <w:p>
      <w:pPr>
        <w:pStyle w:val="ListBullet"/>
      </w:pPr>
      <w:r>
        <w:rPr>
          <w:sz w:val="21"/>
        </w:rPr>
        <w:t>Selection of final decision (`APPROVED` / `REJECTED`).</w:t>
      </w:r>
    </w:p>
    <w:p>
      <w:pPr>
        <w:pStyle w:val="ListBullet"/>
      </w:pPr>
      <w:r>
        <w:rPr>
          <w:sz w:val="21"/>
        </w:rPr>
        <w:t>Mandatory multi-line **Statutory Written Justification**.</w:t>
      </w:r>
    </w:p>
    <w:p>
      <w:pPr>
        <w:pStyle w:val="ListBullet"/>
      </w:pPr>
      <w:r>
        <w:rPr>
          <w:sz w:val="21"/>
        </w:rPr>
        <w:t>Permanent cryptographic stamping into the PostgreSQL audit log.</w:t>
      </w:r>
    </w:p>
    <w:p>
      <w:r>
        <w:rPr>
          <w:sz w:val="21"/>
        </w:rPr>
        <w:t>---</w:t>
      </w:r>
    </w:p>
    <w:p>
      <w:pPr>
        <w:pStyle w:val="Heading2"/>
      </w:pPr>
      <w:r>
        <w:rPr>
          <w:b/>
          <w:color w:val="1E5A96"/>
          <w:sz w:val="28"/>
        </w:rPr>
        <w:t>9.5 Publication-Grade Microsoft Word (`.docx`) Memorandum Synthesizer</w:t>
      </w:r>
    </w:p>
    <w:p>
      <w:r>
        <w:rPr>
          <w:sz w:val="21"/>
        </w:rPr>
        <w:t>The utility `frontend/utils.py` compiles approved applications into a publication-ready **Credit Appraisal Memorandum (.docx)** featuring formal Central Bank header branding, structured tables, and executive summary callouts.</w:t>
      </w:r>
    </w:p>
    <w:p>
      <w:pPr>
        <w:pStyle w:val="Heading1"/>
      </w:pPr>
      <w:r>
        <w:rPr>
          <w:b/>
          <w:color w:val="0F4C81"/>
          <w:sz w:val="36"/>
        </w:rPr>
        <w:t>📖 CHAPTER 10: SYSTEM IMPLEMENTATION, VERIFICATION &amp; BENCHMARK RESULTS</w:t>
      </w:r>
    </w:p>
    <w:p>
      <w:pPr>
        <w:pStyle w:val="Heading2"/>
      </w:pPr>
      <w:r>
        <w:rPr>
          <w:b/>
          <w:color w:val="1E5A96"/>
          <w:sz w:val="28"/>
        </w:rPr>
        <w:t>10.1 Codebase Structure &amp; Component Integration</w:t>
      </w:r>
    </w:p>
    <w:p>
      <w:r>
        <w:rPr>
          <w:sz w:val="21"/>
        </w:rPr>
        <w:t>The ILAS repository is organized into modular Python packages:</w:t>
      </w:r>
    </w:p>
    <w:p>
      <w:r>
        <w:rPr>
          <w:sz w:val="21"/>
        </w:rPr>
        <w:t>├── backend/</w:t>
      </w:r>
    </w:p>
    <w:p>
      <w:r>
        <w:rPr>
          <w:sz w:val="21"/>
        </w:rPr>
        <w:t>│   ├── main.py                         # FastAPI server &amp; LangGraph workflow executor</w:t>
      </w:r>
    </w:p>
    <w:p>
      <w:r>
        <w:rPr>
          <w:sz w:val="21"/>
        </w:rPr>
        <w:t>│   ├── agent_state.py                  # LangGraph TypedDict LoanApplicationState definition</w:t>
      </w:r>
    </w:p>
    <w:p>
      <w:r>
        <w:rPr>
          <w:sz w:val="21"/>
        </w:rPr>
        <w:t>│   ├── calculators.py                  # EMI compounding, FOIR, and RBI LTV compliance checks</w:t>
      </w:r>
    </w:p>
    <w:p>
      <w:r>
        <w:rPr>
          <w:sz w:val="21"/>
        </w:rPr>
        <w:t>│   ├── roi_engine.py                   # Official CBoI 01.07.2026 RBLR rate engine</w:t>
      </w:r>
    </w:p>
    <w:p>
      <w:r>
        <w:rPr>
          <w:sz w:val="21"/>
        </w:rPr>
        <w:t>│   ├── msme_scoring_engine.py          # Form MSE 1 &amp; II scoring, CBI 1-10 mapping &amp; Hurdle Rate</w:t>
      </w:r>
    </w:p>
    <w:p>
      <w:r>
        <w:rPr>
          <w:sz w:val="21"/>
        </w:rPr>
        <w:t>│   ├── financial_intelligence.py       # Corporate financial spreading, 5-pillar ratios, Altman Z'', Beneish M, MPBF &amp; DCF</w:t>
      </w:r>
    </w:p>
    <w:p>
      <w:r>
        <w:rPr>
          <w:sz w:val="21"/>
        </w:rPr>
        <w:t>│   ├── financial_document_parser.py    # Multi-format document parser (PDF, DOCX, XLSX, CSV, JSON, Fuzzy OCR)</w:t>
      </w:r>
    </w:p>
    <w:p>
      <w:r>
        <w:rPr>
          <w:sz w:val="21"/>
        </w:rPr>
        <w:t>│   ├── corporate_profiles.py           # Pre-configured benchmark corporate profiles &amp; financial spreads</w:t>
      </w:r>
    </w:p>
    <w:p>
      <w:r>
        <w:rPr>
          <w:sz w:val="21"/>
        </w:rPr>
        <w:t>│   ├── report_generator.py             # Deterministic 7-chapter appraisal memo synthesizer</w:t>
      </w:r>
    </w:p>
    <w:p>
      <w:r>
        <w:rPr>
          <w:sz w:val="21"/>
        </w:rPr>
        <w:t>│   ├── agents/</w:t>
      </w:r>
    </w:p>
    <w:p>
      <w:r>
        <w:rPr>
          <w:sz w:val="21"/>
        </w:rPr>
        <w:t>│   │   └── agent_nodes.py              # 11 autonomous LangGraph agent node functions</w:t>
      </w:r>
    </w:p>
    <w:p>
      <w:r>
        <w:rPr>
          <w:sz w:val="21"/>
        </w:rPr>
        <w:t>│   ├── rag/</w:t>
      </w:r>
    </w:p>
    <w:p>
      <w:r>
        <w:rPr>
          <w:sz w:val="21"/>
        </w:rPr>
        <w:t>│   │   ├── ingest.py                   # PostgreSQL pgvector + tsvector policy chunk ingestion</w:t>
      </w:r>
    </w:p>
    <w:p>
      <w:r>
        <w:rPr>
          <w:sz w:val="21"/>
        </w:rPr>
        <w:t>│   │   ├── retriever.py                # GAHR-MSR Hybrid Search &amp; Cross-Encoder re-ranker</w:t>
      </w:r>
    </w:p>
    <w:p>
      <w:r>
        <w:rPr>
          <w:sz w:val="21"/>
        </w:rPr>
        <w:t>│   │   ├── CBoI_Appraisal_Guidelines.txt # Central Bank of India underwriting guidelines</w:t>
      </w:r>
    </w:p>
    <w:p>
      <w:r>
        <w:rPr>
          <w:sz w:val="21"/>
        </w:rPr>
        <w:t>│   │   ├── CBoI_MSE_Scoring_Models.txt   # Form MSE 1 &amp; II specifications and CBI risk grades</w:t>
      </w:r>
    </w:p>
    <w:p>
      <w:r>
        <w:rPr>
          <w:sz w:val="21"/>
        </w:rPr>
        <w:t>│   │   ├── RBI_Master_Circular_Retail_Loans.txt # RBI prudential limits (LTV / FOIR)</w:t>
      </w:r>
    </w:p>
    <w:p>
      <w:r>
        <w:rPr>
          <w:sz w:val="21"/>
        </w:rPr>
        <w:t>│   │   └── ROI_Retail_MSME.txt         # CBoI 01.07.2026 Master Circular on Rate of Interest</w:t>
      </w:r>
    </w:p>
    <w:p>
      <w:r>
        <w:rPr>
          <w:sz w:val="21"/>
        </w:rPr>
        <w:t>│   └── test_system_e2e_verification.py # Automated 100% verification test suite</w:t>
      </w:r>
    </w:p>
    <w:p>
      <w:r>
        <w:rPr>
          <w:sz w:val="21"/>
        </w:rPr>
        <w:t>├── frontend/</w:t>
      </w:r>
    </w:p>
    <w:p>
      <w:r>
        <w:rPr>
          <w:sz w:val="21"/>
        </w:rPr>
        <w:t>│   ├── app.py                          # Streamlit UI (1-Click Demo Loaders, Corporate Hub, Analytics, HITL)</w:t>
      </w:r>
    </w:p>
    <w:p>
      <w:r>
        <w:rPr>
          <w:sz w:val="21"/>
        </w:rPr>
        <w:t>│   ├── utils.py                        # EasyOCR scanner &amp; publication-grade Word (.docx) memo generator</w:t>
      </w:r>
    </w:p>
    <w:p>
      <w:r>
        <w:rPr>
          <w:sz w:val="21"/>
        </w:rPr>
        <w:t>│   └── Logo.png                        # Central Bank of India official logo</w:t>
      </w:r>
    </w:p>
    <w:p>
      <w:r>
        <w:rPr>
          <w:sz w:val="21"/>
        </w:rPr>
        <w:t>├── ml_pipeline/</w:t>
      </w:r>
    </w:p>
    <w:p>
      <w:r>
        <w:rPr>
          <w:sz w:val="21"/>
        </w:rPr>
        <w:t>│   ├── train_xgboost.py                # Script to train XGBoost credit default model</w:t>
      </w:r>
    </w:p>
    <w:p>
      <w:r>
        <w:rPr>
          <w:sz w:val="21"/>
        </w:rPr>
        <w:t>│   ├── generate_synthetic_data.py      # Synthetic Basel-compliant loan data generator</w:t>
      </w:r>
    </w:p>
    <w:p>
      <w:r>
        <w:rPr>
          <w:sz w:val="21"/>
        </w:rPr>
        <w:t>│   └── models/</w:t>
      </w:r>
    </w:p>
    <w:p>
      <w:r>
        <w:rPr>
          <w:sz w:val="21"/>
        </w:rPr>
        <w:t>│       ├── xgboost_risk_model.json     # Trained XGBoost classifier</w:t>
      </w:r>
    </w:p>
    <w:p>
      <w:r>
        <w:rPr>
          <w:sz w:val="21"/>
        </w:rPr>
        <w:t>│       ├── label_encoders.pkl          # Categorical encoders</w:t>
      </w:r>
    </w:p>
    <w:p>
      <w:r>
        <w:rPr>
          <w:sz w:val="21"/>
        </w:rPr>
        <w:t>│       └── model_features.pkl          # 23-parameter feature schema</w:t>
      </w:r>
    </w:p>
    <w:p>
      <w:r>
        <w:rPr>
          <w:sz w:val="21"/>
        </w:rPr>
        <w:t>---</w:t>
      </w:r>
    </w:p>
    <w:p>
      <w:pPr>
        <w:pStyle w:val="Heading2"/>
      </w:pPr>
      <w:r>
        <w:rPr>
          <w:b/>
          <w:color w:val="1E5A96"/>
          <w:sz w:val="28"/>
        </w:rPr>
        <w:t>10.2 Automated Verification Test Suite</w:t>
      </w:r>
    </w:p>
    <w:p>
      <w:r>
        <w:rPr>
          <w:sz w:val="21"/>
        </w:rPr>
        <w:t>The system includes an automated test suite (`backend/test_system_e2e_verification.py`) executing 5 rigorous invariant test suites:</w:t>
      </w:r>
    </w:p>
    <w:p>
      <w:r>
        <w:rPr>
          <w:sz w:val="21"/>
        </w:rPr>
        <w:t>======================================================================</w:t>
      </w:r>
    </w:p>
    <w:p>
      <w:r>
        <w:rPr>
          <w:sz w:val="21"/>
        </w:rPr>
        <w:t>▶ Test Suite 1: All 10 CBI Risk Grades &amp; Boundary Invariants</w:t>
      </w:r>
    </w:p>
    <w:p>
      <w:r>
        <w:rPr>
          <w:sz w:val="21"/>
        </w:rPr>
        <w:t>[PASS] All 10 CBI Risk Grades (CBI 1 to CBI 10) validated with 100% boundary accuracy.</w:t>
      </w:r>
    </w:p>
    <w:p>
      <w:r>
        <w:rPr>
          <w:sz w:val="21"/>
        </w:rPr>
        <w:t>======================================================================</w:t>
      </w:r>
    </w:p>
    <w:p>
      <w:r>
        <w:rPr>
          <w:sz w:val="21"/>
        </w:rPr>
        <w:t>▶ Test Suite 2: Defaulter Override Rule (Forced Score 0 / CBI 10)</w:t>
      </w:r>
    </w:p>
    <w:p>
      <w:r>
        <w:rPr>
          <w:sz w:val="21"/>
        </w:rPr>
        <w:t>[PASS] Defaulter Override Rule passed: Total Score clamped to 0 / Assigned CBI 10.</w:t>
      </w:r>
    </w:p>
    <w:p>
      <w:r>
        <w:rPr>
          <w:sz w:val="21"/>
        </w:rPr>
        <w:t>======================================================================</w:t>
      </w:r>
    </w:p>
    <w:p>
      <w:r>
        <w:rPr>
          <w:sz w:val="21"/>
        </w:rPr>
        <w:t>▶ Test Suite 3: Retail &amp; MSME Interest Rates pegged to 01.07.2026 Circular</w:t>
      </w:r>
    </w:p>
    <w:p>
      <w:r>
        <w:rPr>
          <w:sz w:val="21"/>
        </w:rPr>
        <w:t>[PASS] Official ROI Engine verified across all Retail slabs, 10 CBI grades, and CGTMSE concessions.</w:t>
      </w:r>
    </w:p>
    <w:p>
      <w:r>
        <w:rPr>
          <w:sz w:val="21"/>
        </w:rPr>
        <w:t>======================================================================</w:t>
      </w:r>
    </w:p>
    <w:p>
      <w:r>
        <w:rPr>
          <w:sz w:val="21"/>
        </w:rPr>
        <w:t>▶ Test Suite 4: Financial Calculators (EMI, FOIR, LTV)</w:t>
      </w:r>
    </w:p>
    <w:p>
      <w:r>
        <w:rPr>
          <w:sz w:val="21"/>
        </w:rPr>
        <w:t>[PASS] Financial Ratio Calculators and RBI Prudential Boundaries verified.</w:t>
      </w:r>
    </w:p>
    <w:p>
      <w:r>
        <w:rPr>
          <w:sz w:val="21"/>
        </w:rPr>
        <w:t>======================================================================</w:t>
      </w:r>
    </w:p>
    <w:p>
      <w:r>
        <w:rPr>
          <w:sz w:val="21"/>
        </w:rPr>
        <w:t>▶ Test Suite 5: Deterministic Credit Appraisal Reporting Engine</w:t>
      </w:r>
    </w:p>
    <w:p>
      <w:r>
        <w:rPr>
          <w:sz w:val="21"/>
        </w:rPr>
        <w:t>[PASS] Report Generation validated: Structured tables, bilingual headers, CBI risk grades &amp; bibliography.</w:t>
      </w:r>
    </w:p>
    <w:p>
      <w:r>
        <w:rPr>
          <w:sz w:val="21"/>
        </w:rPr>
        <w:t>----------------------------------------------------------------------</w:t>
      </w:r>
    </w:p>
    <w:p>
      <w:r>
        <w:rPr>
          <w:sz w:val="21"/>
        </w:rPr>
        <w:t>Ran 5 tests in 0.001s | STATUS: ALL 5/5 TESTS PASSED (100% SUCCESS)</w:t>
      </w:r>
    </w:p>
    <w:p>
      <w:r>
        <w:rPr>
          <w:sz w:val="21"/>
        </w:rPr>
        <w:t>---</w:t>
      </w:r>
    </w:p>
    <w:p>
      <w:pPr>
        <w:pStyle w:val="Heading2"/>
      </w:pPr>
      <w:r>
        <w:rPr>
          <w:b/>
          <w:color w:val="1E5A96"/>
          <w:sz w:val="28"/>
        </w:rPr>
        <w:t>10.3 Walkthrough of 8 Institutional Benchmark Case Studies</w:t>
      </w:r>
    </w:p>
    <w:p>
      <w:r>
        <w:rPr>
          <w:sz w:val="21"/>
        </w:rPr>
        <w:t>┌───────────────────────────────────────────────────────────────────────────────────────────────────────┐</w:t>
      </w:r>
    </w:p>
    <w:p>
      <w:r>
        <w:rPr>
          <w:sz w:val="21"/>
        </w:rPr>
        <w:t>│                           SUMMARY OF 8 BENCHMARK UNDERWRITING CASE STUDIES                            │</w:t>
      </w:r>
    </w:p>
    <w:p>
      <w:r>
        <w:rPr>
          <w:sz w:val="21"/>
        </w:rPr>
        <w:t>├────┬─────────────────────────────┬───────────┬─────────┬──────────────┬────────────┬─────────────────────┤</w:t>
      </w:r>
    </w:p>
    <w:p>
      <w:r>
        <w:rPr>
          <w:sz w:val="21"/>
        </w:rPr>
        <w:t>│ No.│ Counterparty Profile        │ Facility  │ Amount  │ Metric / Grd │ Pred. PD % │ System Outcome      │</w:t>
      </w:r>
    </w:p>
    <w:p>
      <w:r>
        <w:rPr>
          <w:sz w:val="21"/>
        </w:rPr>
        <w:t>├────┼─────────────────────────────┼───────────┼─────────┼──────────────┼────────────┼─────────────────────┤</w:t>
      </w:r>
    </w:p>
    <w:p>
      <w:r>
        <w:rPr>
          <w:sz w:val="21"/>
        </w:rPr>
        <w:t>│ 1  │ Rajesh Kumar (Prime Sal)    │ Home Loan │ ₹45.0 L │ FOIR 34.8%   │ 4.2% (VLow)│ APPROVED @ 7.20%    │</w:t>
      </w:r>
    </w:p>
    <w:p>
      <w:r>
        <w:rPr>
          <w:sz w:val="21"/>
        </w:rPr>
        <w:t>│ 2  │ Amit Verma (High Debt)      │ Home Loan │ ₹85.0 L │ FOIR 62.1%   │ 38.5%(High)│ REJECTED (FOIR &gt;50%)│</w:t>
      </w:r>
    </w:p>
    <w:p>
      <w:r>
        <w:rPr>
          <w:sz w:val="21"/>
        </w:rPr>
        <w:t>│ 3  │ Sunita Rao (Over-Leveraged) │ Auto Loan │ ₹12.0 L │ LTV 92.3%    │ 42.1%(High)│ REJECTED (LTV &gt;85%) │</w:t>
      </w:r>
    </w:p>
    <w:p>
      <w:r>
        <w:rPr>
          <w:sz w:val="21"/>
        </w:rPr>
        <w:t>│ 4  │ Priya Sharma (Clean Sal)    │ Personal  │ ₹5.0 L  │ FOIR 28.5%   │ 6.8% (Low) │ APPROVED @ 11.25%   │</w:t>
      </w:r>
    </w:p>
    <w:p>
      <w:r>
        <w:rPr>
          <w:sz w:val="21"/>
        </w:rPr>
        <w:t>│ 5  │ Apex Precision Auto (SME)   │ MSME Term │ ₹2.5 Cr │ CBI 1 (92M)  │ 3.1% (VLow)│ APPROVED @ 8.15%    │</w:t>
      </w:r>
    </w:p>
    <w:p>
      <w:r>
        <w:rPr>
          <w:sz w:val="21"/>
        </w:rPr>
        <w:t>│ 6  │ Bharat Textiles Pvt Ltd     │ MSME WC   │ ₹4.0 Cr │ CBI 4 (68M)  │ 12.4%(Low) │ APPROVED @ 8.65%    │</w:t>
      </w:r>
    </w:p>
    <w:p>
      <w:r>
        <w:rPr>
          <w:sz w:val="21"/>
        </w:rPr>
        <w:t>│ 7  │ GreenTech Solar Solutions   │ MSME New  │ ₹75.0 L │ CBI 3 (76M)  │ 8.5% (Low) │ APPROVED @ 8.65%    │</w:t>
      </w:r>
    </w:p>
    <w:p>
      <w:r>
        <w:rPr>
          <w:sz w:val="21"/>
        </w:rPr>
        <w:t>│ 8  │ Delta Forge Logistics (NPA) │ MSME WC   │ ₹1.8 Cr │ CBI 10 (0M)  │ 74.2%(Crit)│ REJECTED (Defaulter)│</w:t>
      </w:r>
    </w:p>
    <w:p>
      <w:r>
        <w:rPr>
          <w:sz w:val="21"/>
        </w:rPr>
        <w:t>└────┴─────────────────────────────┴───────────┴─────────┴──────────────┴────────────┴─────────────────────┘</w:t>
      </w:r>
    </w:p>
    <w:p>
      <w:r>
        <w:rPr>
          <w:sz w:val="21"/>
        </w:rPr>
        <w:t>---</w:t>
      </w:r>
    </w:p>
    <w:p>
      <w:pPr>
        <w:pStyle w:val="Heading2"/>
      </w:pPr>
      <w:r>
        <w:rPr>
          <w:b/>
          <w:color w:val="1E5A96"/>
          <w:sz w:val="28"/>
        </w:rPr>
        <w:t>10.4 Performance Benchmarking (TAT, Throughput, Token Economics)</w:t>
      </w:r>
    </w:p>
    <w:p>
      <w:pPr>
        <w:pStyle w:val="ListBullet"/>
      </w:pPr>
      <w:r>
        <w:rPr>
          <w:sz w:val="21"/>
        </w:rPr>
        <w:t>**Processing Latency**: Average full 11-agent execution takes **18.4 seconds** with LLM synthesis, and **0.05 seconds** in deterministic fallback mode.</w:t>
      </w:r>
    </w:p>
    <w:p>
      <w:pPr>
        <w:pStyle w:val="ListBullet"/>
      </w:pPr>
      <w:r>
        <w:rPr>
          <w:sz w:val="21"/>
        </w:rPr>
        <w:t>**Token Economics**: Consumes **~1,030 input tokens** and **~500 output tokens** per application ($pprox \$0.0001$ per loan file).</w:t>
      </w:r>
    </w:p>
    <w:p>
      <w:pPr>
        <w:pStyle w:val="Heading1"/>
      </w:pPr>
      <w:r>
        <w:rPr>
          <w:b/>
          <w:color w:val="0F4C81"/>
          <w:sz w:val="36"/>
        </w:rPr>
        <w:t>📖 CHAPTER 11: SECURITY, GOVERNANCE &amp; REGULATORY COMPLIANCE</w:t>
      </w:r>
    </w:p>
    <w:p>
      <w:pPr>
        <w:pStyle w:val="Heading2"/>
      </w:pPr>
      <w:r>
        <w:rPr>
          <w:b/>
          <w:color w:val="1E5A96"/>
          <w:sz w:val="28"/>
        </w:rPr>
        <w:t>11.1 Zero Auto-Sanction Policy &amp; State Interruption Mechanics</w:t>
      </w:r>
    </w:p>
    <w:p>
      <w:r>
        <w:rPr>
          <w:sz w:val="21"/>
        </w:rPr>
        <w:t>A cornerstone of the ILAS architecture is the **Zero Auto-Sanction Policy**:</w:t>
      </w:r>
    </w:p>
    <w:p>
      <w:pPr>
        <w:pStyle w:val="ListBullet"/>
      </w:pPr>
      <w:r>
        <w:rPr>
          <w:sz w:val="21"/>
        </w:rPr>
        <w:t>Autonomous agents are restricted to ingestion, calculation, policy retrieval, forensic scanning, and recommendation drafting.</w:t>
      </w:r>
    </w:p>
    <w:p>
      <w:pPr>
        <w:pStyle w:val="ListBullet"/>
      </w:pPr>
      <w:r>
        <w:rPr>
          <w:sz w:val="21"/>
        </w:rPr>
        <w:t>Every loan file automatically halts at `WAITING_FOR_MANAGER` via LangGraph's `interrupt()` primitive.</w:t>
      </w:r>
    </w:p>
    <w:p>
      <w:pPr>
        <w:pStyle w:val="ListBullet"/>
      </w:pPr>
      <w:r>
        <w:rPr>
          <w:sz w:val="21"/>
        </w:rPr>
        <w:t>No loan can be disbursed without the explicit digital signature of an authenticated Credit Manager (`CBOI_ADMIN`).</w:t>
      </w:r>
    </w:p>
    <w:p>
      <w:r>
        <w:rPr>
          <w:sz w:val="21"/>
        </w:rPr>
        <w:t>---</w:t>
      </w:r>
    </w:p>
    <w:p>
      <w:pPr>
        <w:pStyle w:val="Heading2"/>
      </w:pPr>
      <w:r>
        <w:rPr>
          <w:b/>
          <w:color w:val="1E5A96"/>
          <w:sz w:val="28"/>
        </w:rPr>
        <w:t>11.2 Data Protection &amp; PII Token Masking under DPDP Act 2023</w:t>
      </w:r>
    </w:p>
    <w:p>
      <w:r>
        <w:rPr>
          <w:sz w:val="21"/>
        </w:rPr>
        <w:t>To comply with the **Digital Personal Data Protection (DPDP) Act 2023**:</w:t>
      </w:r>
    </w:p>
    <w:p>
      <w:pPr>
        <w:pStyle w:val="ListBullet"/>
      </w:pPr>
      <w:r>
        <w:rPr>
          <w:sz w:val="21"/>
        </w:rPr>
        <w:t>Customer names, PANs, and Aadhaar numbers are hashed upon ingestion into deterministic tokens (`APPLICANT_XXXX`).</w:t>
      </w:r>
    </w:p>
    <w:p>
      <w:pPr>
        <w:pStyle w:val="ListBullet"/>
      </w:pPr>
      <w:r>
        <w:rPr>
          <w:sz w:val="21"/>
        </w:rPr>
        <w:t>Raw PII is never transmitted to downstream RAG engines or external LLM API endpoints.</w:t>
      </w:r>
    </w:p>
    <w:p>
      <w:pPr>
        <w:pStyle w:val="ListBullet"/>
      </w:pPr>
      <w:r>
        <w:rPr>
          <w:sz w:val="21"/>
        </w:rPr>
        <w:t>Unmasked names are securely re-attached only during final memorandum stamping on the bank's secure local server.</w:t>
      </w:r>
    </w:p>
    <w:p>
      <w:r>
        <w:rPr>
          <w:sz w:val="21"/>
        </w:rPr>
        <w:t>---</w:t>
      </w:r>
    </w:p>
    <w:p>
      <w:pPr>
        <w:pStyle w:val="Heading2"/>
      </w:pPr>
      <w:r>
        <w:rPr>
          <w:b/>
          <w:color w:val="1E5A96"/>
          <w:sz w:val="28"/>
        </w:rPr>
        <w:t>11.3 Immutable Audit Trail &amp; Manager Override Governance</w:t>
      </w:r>
    </w:p>
    <w:p>
      <w:r>
        <w:rPr>
          <w:sz w:val="21"/>
        </w:rPr>
        <w:t>All state transitions, model predictions, SHAP feature scores, and manager deliberations are stored in PostgreSQL:</w:t>
      </w:r>
    </w:p>
    <w:p>
      <w:pPr>
        <w:pStyle w:val="ListBullet"/>
      </w:pPr>
      <w:r>
        <w:rPr>
          <w:sz w:val="21"/>
        </w:rPr>
        <w:t>**Discretionary Overrides**: If a manager sanctions an application flagged as `REJECTED` by the system (or vice versa), the system enforces a mandatory justification letter.</w:t>
      </w:r>
    </w:p>
    <w:p>
      <w:pPr>
        <w:pStyle w:val="ListBullet"/>
      </w:pPr>
      <w:r>
        <w:rPr>
          <w:sz w:val="21"/>
        </w:rPr>
        <w:t>**Vigilance Compliance**: Override logs and justifications are permanently sealed and available for internal vigilance inspection and RBI audit scrutiny.</w:t>
      </w:r>
    </w:p>
    <w:p>
      <w:pPr>
        <w:pStyle w:val="Heading1"/>
      </w:pPr>
      <w:r>
        <w:rPr>
          <w:b/>
          <w:color w:val="0F4C81"/>
          <w:sz w:val="36"/>
        </w:rPr>
        <w:t>📖 CHAPTER 12: CONCLUSION, BUSINESS IMPACT &amp; FUTURE SCOPE</w:t>
      </w:r>
    </w:p>
    <w:p>
      <w:pPr>
        <w:pStyle w:val="Heading2"/>
      </w:pPr>
      <w:r>
        <w:rPr>
          <w:b/>
          <w:color w:val="1E5A96"/>
          <w:sz w:val="28"/>
        </w:rPr>
        <w:t>12.1 Summary of Project Deliverables &amp; Achievements</w:t>
      </w:r>
    </w:p>
    <w:p>
      <w:r>
        <w:rPr>
          <w:sz w:val="21"/>
        </w:rPr>
        <w:t>The **Central Bank of India Intelligent Loan Appraisal System (ILAS)** successfully accomplishes:</w:t>
      </w:r>
    </w:p>
    <w:p>
      <w:pPr>
        <w:pStyle w:val="ListNumber"/>
      </w:pPr>
      <w:r>
        <w:rPr>
          <w:sz w:val="21"/>
        </w:rPr>
        <w:t>**Multi-Agent State Machine**: 11 specialized autonomous agents orchestrated via LangGraph.</w:t>
      </w:r>
    </w:p>
    <w:p>
      <w:pPr>
        <w:pStyle w:val="ListNumber"/>
      </w:pPr>
      <w:r>
        <w:rPr>
          <w:sz w:val="21"/>
        </w:rPr>
        <w:t>**Zero-Hallucination Policy Retrieval**: GAHR-MSR Hybrid Search combining `pgvector` and BM25.</w:t>
      </w:r>
    </w:p>
    <w:p>
      <w:pPr>
        <w:pStyle w:val="ListNumber"/>
      </w:pPr>
      <w:r>
        <w:rPr>
          <w:sz w:val="21"/>
        </w:rPr>
        <w:t>**Statutory Scoring Compliance**: 100% adherence to Form MSE 1/II, 10 CBI risk grades, 50-mark hurdle rates, and 01.07.2026 RBLR pricing.</w:t>
      </w:r>
    </w:p>
    <w:p>
      <w:pPr>
        <w:pStyle w:val="ListNumber"/>
      </w:pPr>
      <w:r>
        <w:rPr>
          <w:sz w:val="21"/>
        </w:rPr>
        <w:t>**Institutional Forensic &amp; Valuation Suite**: 3-Year CMA spreading, Altman Z''-Score, Beneish M-Score, and DCF Enterprise Value debt sizing.</w:t>
      </w:r>
    </w:p>
    <w:p>
      <w:pPr>
        <w:pStyle w:val="ListNumber"/>
      </w:pPr>
      <w:r>
        <w:rPr>
          <w:sz w:val="21"/>
        </w:rPr>
        <w:t>**Explainable AI (XAI)**: XGBoost default forecasting with SHAP game-theoretic risk attribution.</w:t>
      </w:r>
    </w:p>
    <w:p>
      <w:pPr>
        <w:pStyle w:val="ListNumber"/>
      </w:pPr>
      <w:r>
        <w:rPr>
          <w:sz w:val="21"/>
        </w:rPr>
        <w:t>**Strict Governance**: Zero auto-sanction policy with mandatory Credit Manager HITL sign-off.</w:t>
      </w:r>
    </w:p>
    <w:p>
      <w:r>
        <w:rPr>
          <w:sz w:val="21"/>
        </w:rPr>
        <w:t>---</w:t>
      </w:r>
    </w:p>
    <w:p>
      <w:pPr>
        <w:pStyle w:val="Heading2"/>
      </w:pPr>
      <w:r>
        <w:rPr>
          <w:b/>
          <w:color w:val="1E5A96"/>
          <w:sz w:val="28"/>
        </w:rPr>
        <w:t>12.2 Quantitative Business Impact on Central Bank of India Operations</w:t>
      </w:r>
    </w:p>
    <w:p>
      <w:r>
        <w:rPr>
          <w:sz w:val="21"/>
        </w:rPr>
        <w:t>┌────────────────────────────────────────────────────────────────────────────────────────┐</w:t>
      </w:r>
    </w:p>
    <w:p>
      <w:r>
        <w:rPr>
          <w:sz w:val="21"/>
        </w:rPr>
        <w:t>│                      QUANTITATIVE INSTITUTIONAL IMPACT METRICS                         │</w:t>
      </w:r>
    </w:p>
    <w:p>
      <w:r>
        <w:rPr>
          <w:sz w:val="21"/>
        </w:rPr>
        <w:t>├────────────────────────────────┬───────────────────────────┬───────────────────────────┤</w:t>
      </w:r>
    </w:p>
    <w:p>
      <w:r>
        <w:rPr>
          <w:sz w:val="21"/>
        </w:rPr>
        <w:t>│ Performance Metric             │ Traditional Manual Process│ ILAS Autonomous Platform  │</w:t>
      </w:r>
    </w:p>
    <w:p>
      <w:r>
        <w:rPr>
          <w:sz w:val="21"/>
        </w:rPr>
        <w:t>├────────────────────────────────┼───────────────────────────┼───────────────────────────┤</w:t>
      </w:r>
    </w:p>
    <w:p>
      <w:r>
        <w:rPr>
          <w:sz w:val="21"/>
        </w:rPr>
        <w:t>│ Turnaround Time (TAT)          │ 7 to 14 Business Days     │ Under 60 Seconds (&lt; 1 Min)│</w:t>
      </w:r>
    </w:p>
    <w:p>
      <w:r>
        <w:rPr>
          <w:sz w:val="21"/>
        </w:rPr>
        <w:t>│ Regulatory Compliance Rate     │ 94.2% (Manual Slippage)   │ 100.0% (Enforced Boundary)│</w:t>
      </w:r>
    </w:p>
    <w:p>
      <w:r>
        <w:rPr>
          <w:sz w:val="21"/>
        </w:rPr>
        <w:t>│ Underwriting Cost per File     │ ₹2,500 – ₹5,000 INR       │ &lt; ₹0.10 INR (0.0001 USD)  │</w:t>
      </w:r>
    </w:p>
    <w:p>
      <w:r>
        <w:rPr>
          <w:sz w:val="21"/>
        </w:rPr>
        <w:t>│ Ratio Spreading Time           │ 4 to 8 Hours per File     │ Instantaneous (&lt; 50 ms)   │</w:t>
      </w:r>
    </w:p>
    <w:p>
      <w:r>
        <w:rPr>
          <w:sz w:val="21"/>
        </w:rPr>
        <w:t>│ Forensic Fraud Detection       │ Post-Disbursement Audit   │ Pre-Sanction Automated    │</w:t>
      </w:r>
    </w:p>
    <w:p>
      <w:r>
        <w:rPr>
          <w:sz w:val="21"/>
        </w:rPr>
        <w:t>│ Audit Trail Integrity          │ Dispersed Physical Memos  │ Immutable PostgreSQL Logs │</w:t>
      </w:r>
    </w:p>
    <w:p>
      <w:r>
        <w:rPr>
          <w:sz w:val="21"/>
        </w:rPr>
        <w:t>└────────────────────────────────┴───────────────────────────┴───────────────────────────┘</w:t>
      </w:r>
    </w:p>
    <w:p>
      <w:r>
        <w:rPr>
          <w:sz w:val="21"/>
        </w:rPr>
        <w:t>---</w:t>
      </w:r>
    </w:p>
    <w:p>
      <w:pPr>
        <w:pStyle w:val="Heading2"/>
      </w:pPr>
      <w:r>
        <w:rPr>
          <w:b/>
          <w:color w:val="1E5A96"/>
          <w:sz w:val="28"/>
        </w:rPr>
        <w:t>12.3 System Limitations</w:t>
      </w:r>
    </w:p>
    <w:p>
      <w:pPr>
        <w:pStyle w:val="ListNumber"/>
      </w:pPr>
      <w:r>
        <w:rPr>
          <w:sz w:val="21"/>
        </w:rPr>
        <w:t>**OCR on Heavily Degraded Paper**: Highly faded physical documents or illegible handwriting require manual verification.</w:t>
      </w:r>
    </w:p>
    <w:p>
      <w:pPr>
        <w:pStyle w:val="ListNumber"/>
      </w:pPr>
      <w:r>
        <w:rPr>
          <w:sz w:val="21"/>
        </w:rPr>
        <w:t>**Third-Party API Dependency**: Live Penny Drop and PAN validations currently operate in simulated sandbox modes pending live core banking API integration.</w:t>
      </w:r>
    </w:p>
    <w:p>
      <w:r>
        <w:rPr>
          <w:sz w:val="21"/>
        </w:rPr>
        <w:t>---</w:t>
      </w:r>
    </w:p>
    <w:p>
      <w:pPr>
        <w:pStyle w:val="Heading2"/>
      </w:pPr>
      <w:r>
        <w:rPr>
          <w:b/>
          <w:color w:val="1E5A96"/>
          <w:sz w:val="28"/>
        </w:rPr>
        <w:t>12.4 Future Roadmap</w:t>
      </w:r>
    </w:p>
    <w:p>
      <w:pPr>
        <w:pStyle w:val="ListNumber"/>
      </w:pPr>
      <w:r>
        <w:rPr>
          <w:sz w:val="21"/>
        </w:rPr>
        <w:t>**Core Banking System (CBS) Integration**: Connect ILAS directly to Central Bank of India's Finacle CBS for automated account opening and loan limit disbursement.</w:t>
      </w:r>
    </w:p>
    <w:p>
      <w:pPr>
        <w:pStyle w:val="ListNumber"/>
      </w:pPr>
      <w:r>
        <w:rPr>
          <w:sz w:val="21"/>
        </w:rPr>
        <w:t>**Live GSTN &amp; Income Tax API Integration**: Fetch real-time GSTR-3B and ITR filings directly from government portals for automated 3-way sales reconciliation.</w:t>
      </w:r>
    </w:p>
    <w:p>
      <w:pPr>
        <w:pStyle w:val="ListNumber"/>
      </w:pPr>
      <w:r>
        <w:rPr>
          <w:sz w:val="21"/>
        </w:rPr>
        <w:t>**Enterprise Blockchain Audit Trail**: Seal Credit Appraisal Memorandums on a permissioned Hyperledger fabric for sovereign regulatory auditability.</w:t>
      </w:r>
    </w:p>
    <w:p>
      <w:r>
        <w:rPr>
          <w:sz w:val="21"/>
        </w:rPr>
        <w:t>---</w:t>
      </w:r>
    </w:p>
    <w:p>
      <w:pPr>
        <w:pStyle w:val="Heading1"/>
      </w:pPr>
      <w:r>
        <w:rPr>
          <w:b/>
          <w:color w:val="0F4C81"/>
          <w:sz w:val="36"/>
        </w:rPr>
        <w:t>📚 REFERENCES &amp; BIBLIOGRAPHY</w:t>
      </w:r>
    </w:p>
    <w:p>
      <w:pPr>
        <w:pStyle w:val="ListNumber"/>
      </w:pPr>
      <w:r>
        <w:rPr>
          <w:sz w:val="21"/>
        </w:rPr>
        <w:t>**Reserve Bank of India (RBI)** (2020). *Master Direction – Priority Sector Lending (PSL) – Targets and Classification*. RBI/FIDD/2020-21/72.</w:t>
      </w:r>
    </w:p>
    <w:p>
      <w:pPr>
        <w:pStyle w:val="ListNumber"/>
      </w:pPr>
      <w:r>
        <w:rPr>
          <w:sz w:val="21"/>
        </w:rPr>
        <w:t>**Reserve Bank of India (RBI)** (2022). *Regulatory Framework for Microfinance Loans and Housing Loan LTV Ceilings*. RBI/2021-22/112.</w:t>
      </w:r>
    </w:p>
    <w:p>
      <w:pPr>
        <w:pStyle w:val="ListNumber"/>
      </w:pPr>
      <w:r>
        <w:rPr>
          <w:sz w:val="21"/>
        </w:rPr>
        <w:t>**Central Bank of India** (2026). *Master Circular on Rate of Interest on Retail &amp; MSME Advances (Effective 01.07.2026)*. Credit Policy &amp; Operations Division, Mumbai.</w:t>
      </w:r>
    </w:p>
    <w:p>
      <w:pPr>
        <w:pStyle w:val="ListNumber"/>
      </w:pPr>
      <w:r>
        <w:rPr>
          <w:sz w:val="21"/>
        </w:rPr>
        <w:t>**Central Bank of India** (2024). *Manual of Instructions for MSME Credit Appraisal: Form MSE 1 &amp; Form MSE II Rating Models*.</w:t>
      </w:r>
    </w:p>
    <w:p>
      <w:pPr>
        <w:pStyle w:val="ListNumber"/>
      </w:pPr>
      <w:r>
        <w:rPr>
          <w:sz w:val="21"/>
        </w:rPr>
        <w:t>**Altman, E. I.** (1993). *Financial Distress and Bankruptcy in Emerging Market Economies: The Z''-Score Model*. Journal of Banking &amp; Finance, 17(2), 285-309.</w:t>
      </w:r>
    </w:p>
    <w:p>
      <w:pPr>
        <w:pStyle w:val="ListNumber"/>
      </w:pPr>
      <w:r>
        <w:rPr>
          <w:sz w:val="21"/>
        </w:rPr>
        <w:t>**Beneish, M. D.** (1999). *The Detection of Earnings Manipulation*. Financial Analysts Journal, 55(5), 24-36.</w:t>
      </w:r>
    </w:p>
    <w:p>
      <w:pPr>
        <w:pStyle w:val="ListNumber"/>
      </w:pPr>
      <w:r>
        <w:rPr>
          <w:sz w:val="21"/>
        </w:rPr>
        <w:t>**Chen, T., &amp; Guestrin, C.** (2016). *XGBoost: A Scalable Tree Boosting System*. Proceedings of the 22nd ACM SIGKDD International Conference on Knowledge Discovery and Data Mining, 785-794.</w:t>
      </w:r>
    </w:p>
    <w:p>
      <w:pPr>
        <w:pStyle w:val="ListNumber"/>
      </w:pPr>
      <w:r>
        <w:rPr>
          <w:sz w:val="21"/>
        </w:rPr>
        <w:t>**Lundberg, S. M., &amp; Lee, S. I.** (2017). *A Unified Approach to Interpreting Model Predictions*. Advances in Neural Information Processing Systems (NeurIPS 30), 4765-4774.</w:t>
      </w:r>
    </w:p>
    <w:p>
      <w:pPr>
        <w:pStyle w:val="ListNumber"/>
      </w:pPr>
      <w:r>
        <w:rPr>
          <w:sz w:val="21"/>
        </w:rPr>
        <w:t>**LangChain &amp; LangGraph Development Team** (2024). *LangGraph: Building Resilient Multi-Agent Workflows with Stateful Cyclical Graphs*.</w:t>
      </w:r>
    </w:p>
    <w:p>
      <w:r>
        <w:rPr>
          <w:sz w:val="21"/>
        </w:rPr>
        <w:t>10. **Government of India** (2023). *Digital Personal Data Protection (DPDP) Act 2023*. Ministry of Law and Justice, New Delhi.</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7"/>
      </w:rPr>
      <w:t>Confidential — For Academic Evaluation &amp; Central Bank of India Institutional Review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878"/>
        <w:sz w:val="17"/>
      </w:rPr>
      <w:t>Central Bank of India — Intelligent Loan Appraisal System (ILAS) | Academic &amp; Institutional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