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645920" cy="1073646"/>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645920" cy="1073646"/>
                    </a:xfrm>
                    <a:prstGeom prst="rect"/>
                  </pic:spPr>
                </pic:pic>
              </a:graphicData>
            </a:graphic>
          </wp:inline>
        </w:drawing>
      </w:r>
    </w:p>
    <w:p>
      <w:pPr>
        <w:spacing w:after="360"/>
        <w:jc w:val="center"/>
      </w:pPr>
      <w:r>
        <w:rPr>
          <w:rFonts w:ascii="Arial" w:hAnsi="Arial"/>
          <w:b/>
          <w:color w:val="003366"/>
          <w:sz w:val="36"/>
        </w:rPr>
        <w:t>CENTRAL BANK OF INDIA</w:t>
        <w:br/>
      </w:r>
      <w:r>
        <w:rPr>
          <w:rFonts w:ascii="Calibri" w:hAnsi="Calibri"/>
          <w:b/>
          <w:color w:val="C69214"/>
          <w:sz w:val="22"/>
        </w:rPr>
        <w:t>REGIONAL OFFICE, VISAKHAPATNAM | ANDHRA PRADESH</w:t>
        <w:br/>
        <w:t>Human Capital Management &amp; Credit Risk Management Divisions</w:t>
      </w:r>
    </w:p>
    <w:tbl>
      <w:tblPr>
        <w:tblW w:type="auto" w:w="0"/>
        <w:jc w:val="center"/>
        <w:tblLook w:firstColumn="1" w:firstRow="1" w:lastColumn="0" w:lastRow="0" w:noHBand="0" w:noVBand="1" w:val="04A0"/>
      </w:tblPr>
      <w:tblGrid>
        <w:gridCol w:w="9360"/>
      </w:tblGrid>
      <w:tr>
        <w:tc>
          <w:tcPr>
            <w:tcW w:type="dxa" w:w="9360"/>
            <w:shd w:fill="003366"/>
          </w:tcPr>
          <w:p>
            <w:pPr>
              <w:spacing w:before="40" w:after="40"/>
            </w:pPr>
          </w:p>
        </w:tc>
      </w:tr>
    </w:tbl>
    <w:p>
      <w:pPr>
        <w:spacing w:after="240"/>
      </w:pPr>
    </w:p>
    <w:p>
      <w:pPr>
        <w:spacing w:after="320"/>
        <w:jc w:val="center"/>
      </w:pPr>
      <w:r>
        <w:rPr>
          <w:rFonts w:ascii="Calibri" w:hAnsi="Calibri"/>
          <w:b/>
          <w:color w:val="C69214"/>
          <w:sz w:val="26"/>
        </w:rPr>
        <w:t>INSTITUTIONAL INTERNSHIP PROJECT REPORT</w:t>
        <w:br/>
      </w:r>
      <w:r>
        <w:rPr>
          <w:rFonts w:ascii="Arial" w:hAnsi="Arial"/>
          <w:b/>
          <w:color w:val="003366"/>
          <w:sz w:val="44"/>
        </w:rPr>
        <w:t>INTELLIGENT LOAN APPRAISAL SYSTEM (ILAS)</w:t>
        <w:br/>
      </w:r>
      <w:r>
        <w:rPr>
          <w:rFonts w:ascii="Calibri" w:hAnsi="Calibri"/>
          <w:i/>
          <w:color w:val="1E293B"/>
          <w:sz w:val="24"/>
        </w:rPr>
        <w:t>An Autonomous, Regulatory-Compliant Multi-Agent AI Underwriting Platform for Retail and MSME Credit Facilities</w:t>
      </w:r>
    </w:p>
    <w:tbl>
      <w:tblPr>
        <w:tblW w:type="auto" w:w="0"/>
        <w:jc w:val="center"/>
        <w:tblLook w:firstColumn="1" w:firstRow="1" w:lastColumn="0" w:lastRow="0" w:noHBand="0" w:noVBand="1" w:val="04A0"/>
      </w:tblPr>
      <w:tblGrid>
        <w:gridCol w:w="4680"/>
        <w:gridCol w:w="4680"/>
      </w:tblGrid>
      <w:tr>
        <w:tc>
          <w:tcPr>
            <w:tcW w:type="dxa" w:w="3168"/>
            <w:shd w:fill="F8FAFC"/>
            <w:tcMar>
              <w:top w:w="80" w:type="dxa"/>
              <w:bottom w:w="80" w:type="dxa"/>
              <w:left w:w="140" w:type="dxa"/>
              <w:right w:w="140" w:type="dxa"/>
            </w:tcMar>
          </w:tcPr>
          <w:p>
            <w:pPr>
              <w:jc w:val="right"/>
            </w:pPr>
            <w:r>
              <w:rPr>
                <w:rFonts w:ascii="Calibri" w:hAnsi="Calibri"/>
                <w:b/>
                <w:color w:val="003366"/>
                <w:sz w:val="20"/>
              </w:rPr>
              <w:t>Author &amp; Intern:</w:t>
            </w:r>
          </w:p>
        </w:tc>
        <w:tc>
          <w:tcPr>
            <w:tcW w:type="dxa" w:w="6192"/>
            <w:shd w:fill="F8FAFC"/>
            <w:tcMar>
              <w:top w:w="80" w:type="dxa"/>
              <w:bottom w:w="80" w:type="dxa"/>
              <w:left w:w="140" w:type="dxa"/>
              <w:right w:w="140" w:type="dxa"/>
            </w:tcMar>
          </w:tcPr>
          <w:p>
            <w:r>
              <w:rPr>
                <w:rFonts w:ascii="Calibri" w:hAnsi="Calibri"/>
                <w:b/>
                <w:color w:val="1E293B"/>
                <w:sz w:val="20"/>
              </w:rPr>
              <w:t>CHALUMURU VENKATA SAI KIRAN</w:t>
              <w:br/>
              <w:t>Risk Management Intern</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Institutional Guide &amp; Mentor:</w:t>
            </w:r>
          </w:p>
        </w:tc>
        <w:tc>
          <w:tcPr>
            <w:tcW w:type="dxa" w:w="6192"/>
            <w:shd w:fill="F8FAFC"/>
            <w:tcMar>
              <w:top w:w="80" w:type="dxa"/>
              <w:bottom w:w="80" w:type="dxa"/>
              <w:left w:w="140" w:type="dxa"/>
              <w:right w:w="140" w:type="dxa"/>
            </w:tcMar>
          </w:tcPr>
          <w:p>
            <w:r>
              <w:rPr>
                <w:rFonts w:ascii="Calibri" w:hAnsi="Calibri"/>
                <w:b w:val="0"/>
                <w:color w:val="1E293B"/>
                <w:sz w:val="20"/>
              </w:rPr>
              <w:t>SHRI AJEET KUMAR</w:t>
              <w:br/>
              <w:t>Chief Manager, Credit &amp; Risk Management</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Human Capital Management:</w:t>
            </w:r>
          </w:p>
        </w:tc>
        <w:tc>
          <w:tcPr>
            <w:tcW w:type="dxa" w:w="6192"/>
            <w:shd w:fill="F8FAFC"/>
            <w:tcMar>
              <w:top w:w="80" w:type="dxa"/>
              <w:bottom w:w="80" w:type="dxa"/>
              <w:left w:w="140" w:type="dxa"/>
              <w:right w:w="140" w:type="dxa"/>
            </w:tcMar>
          </w:tcPr>
          <w:p>
            <w:r>
              <w:rPr>
                <w:rFonts w:ascii="Calibri" w:hAnsi="Calibri"/>
                <w:b w:val="0"/>
                <w:color w:val="1E293B"/>
                <w:sz w:val="20"/>
              </w:rPr>
              <w:t>SMT. JYOTHI IMANDI</w:t>
              <w:br/>
              <w:t>Human Capital Management (HCM) Department</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Internship Tenure:</w:t>
            </w:r>
          </w:p>
        </w:tc>
        <w:tc>
          <w:tcPr>
            <w:tcW w:type="dxa" w:w="6192"/>
            <w:shd w:fill="F8FAFC"/>
            <w:tcMar>
              <w:top w:w="80" w:type="dxa"/>
              <w:bottom w:w="80" w:type="dxa"/>
              <w:left w:w="140" w:type="dxa"/>
              <w:right w:w="140" w:type="dxa"/>
            </w:tcMar>
          </w:tcPr>
          <w:p>
            <w:r>
              <w:rPr>
                <w:rFonts w:ascii="Calibri" w:hAnsi="Calibri"/>
                <w:b w:val="0"/>
                <w:color w:val="1E293B"/>
                <w:sz w:val="20"/>
              </w:rPr>
              <w:t>22nd June 2026 – 25th August 2026 (8 Weeks)</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Focus Domains:</w:t>
            </w:r>
          </w:p>
        </w:tc>
        <w:tc>
          <w:tcPr>
            <w:tcW w:type="dxa" w:w="6192"/>
            <w:shd w:fill="F8FAFC"/>
            <w:tcMar>
              <w:top w:w="80" w:type="dxa"/>
              <w:bottom w:w="80" w:type="dxa"/>
              <w:left w:w="140" w:type="dxa"/>
              <w:right w:w="140" w:type="dxa"/>
            </w:tcMar>
          </w:tcPr>
          <w:p>
            <w:r>
              <w:rPr>
                <w:rFonts w:ascii="Calibri" w:hAnsi="Calibri"/>
                <w:b w:val="0"/>
                <w:color w:val="1E293B"/>
                <w:sz w:val="20"/>
              </w:rPr>
              <w:t>Autonomous Multi-Agent AI (LangGraph), Form MSE 1/II Credit Rating Models,</w:t>
              <w:br/>
              <w:t>Dynamic RBLR Interest Rate Engine, Forensic Financial Auditing &amp; DCF Sizing</w:t>
            </w:r>
          </w:p>
        </w:tc>
      </w:tr>
    </w:tbl>
    <w:p>
      <w:r>
        <w:br w:type="page"/>
      </w:r>
    </w:p>
    <w:p>
      <w:pPr>
        <w:spacing w:after="400"/>
        <w:jc w:val="center"/>
      </w:pPr>
      <w:r>
        <w:rPr>
          <w:rFonts w:ascii="Arial" w:hAnsi="Arial"/>
          <w:b/>
          <w:color w:val="003366"/>
          <w:sz w:val="32"/>
        </w:rPr>
        <w:t>CENTRAL BANK OF INDIA</w:t>
        <w:br/>
      </w:r>
      <w:r>
        <w:rPr>
          <w:rFonts w:ascii="Calibri" w:hAnsi="Calibri"/>
          <w:b/>
          <w:color w:val="C69214"/>
          <w:sz w:val="22"/>
        </w:rPr>
        <w:t>REGIONAL OFFICE: VISAKHAPATNAM, ANDHRA PRADESH</w:t>
        <w:br/>
      </w:r>
      <w:r>
        <w:rPr>
          <w:rFonts w:ascii="Arial" w:hAnsi="Arial"/>
          <w:b/>
          <w:color w:val="003366"/>
          <w:sz w:val="28"/>
        </w:rPr>
        <w:t>CERTIFICATE OF INTERNSHIP COMPLETION</w:t>
      </w:r>
    </w:p>
    <w:p>
      <w:r>
        <w:rPr>
          <w:rFonts w:ascii="Calibri" w:hAnsi="Calibri"/>
          <w:color w:val="1E293B"/>
          <w:sz w:val="23"/>
        </w:rPr>
        <w:t>This is to certify that CHALUMURU VENKATA SAI KIRAN, serving as a Risk Management Intern at the Central Bank of India, Regional Office, Visakhapatnam, has successfully undertaken and completed his 8-week professional internship project from 22nd June 2026 to 25th August 2026.</w:t>
        <w:br/>
        <w:br/>
        <w:t>During this tenure, he has engineered, developed, and deployed the project titled:</w:t>
        <w:br/>
      </w:r>
    </w:p>
    <w:p>
      <w:pPr>
        <w:spacing w:after="280"/>
        <w:jc w:val="center"/>
      </w:pPr>
      <w:r>
        <w:rPr>
          <w:rFonts w:ascii="Calibri" w:hAnsi="Calibri"/>
          <w:b/>
          <w:color w:val="003366"/>
          <w:sz w:val="25"/>
        </w:rPr>
        <w:t>"INTELLIGENT LOAN APPRAISAL SYSTEM (ILAS)"</w:t>
        <w:br/>
        <w:t>An Autonomous, Regulatory-Compliant Multi-Agent AI Underwriting Platform for Retail and MSME Credit Facilities</w:t>
      </w:r>
    </w:p>
    <w:p>
      <w:pPr>
        <w:spacing w:after="800"/>
      </w:pPr>
      <w:r>
        <w:rPr>
          <w:rFonts w:ascii="Calibri" w:hAnsi="Calibri"/>
          <w:color w:val="1E293B"/>
          <w:sz w:val="22"/>
        </w:rPr>
        <w:t>The project encompasses the design of an 11-node autonomous multi-agent state machine on LangGraph, integration of the official Central Bank of India 10-Tier CBI Risk Grading Engine (Form MSE 1 &amp; Form MSE II), automated pricing under the 01.07.2026 Master Circular on Rate of Interest (RBLR), an institutional Corporate Financial Intelligence &amp; Forensic Audit Suite (incorporating Emerging Market Altman Z''-Score, Beneish M-Score, Tandon/Nayak MPBF, and DCF Valuation), and a Hybrid RAG Policy Retrieval Engine using PostgreSQL and pgvector.</w:t>
        <w:br/>
        <w:br/>
        <w:t>He has demonstrated exemplary analytical capabilities, sound grasp of prudential Reserve Bank of India (RBI) credit directions, and high-caliber software engineering standards. The system has undergone exhaustive end-to-end verification and performance benchmarking.</w:t>
        <w:br/>
        <w:br/>
        <w:t>His conduct, diligence, and technical contribution throughout the internship tenure have been outstanding.</w:t>
      </w:r>
    </w:p>
    <w:tbl>
      <w:tblPr>
        <w:tblW w:type="auto" w:w="0"/>
        <w:jc w:val="center"/>
        <w:tblLook w:firstColumn="1" w:firstRow="1" w:lastColumn="0" w:lastRow="0" w:noHBand="0" w:noVBand="1" w:val="04A0"/>
      </w:tblPr>
      <w:tblGrid>
        <w:gridCol w:w="4680"/>
        <w:gridCol w:w="4680"/>
      </w:tblGrid>
      <w:tr>
        <w:tc>
          <w:tcPr>
            <w:tcW w:type="dxa" w:w="4680"/>
          </w:tcPr>
          <w:p>
            <w:pPr>
              <w:jc w:val="center"/>
            </w:pPr>
            <w:r>
              <w:rPr>
                <w:b/>
                <w:color w:val="64748B"/>
              </w:rPr>
              <w:t>_____________________________________</w:t>
              <w:br/>
            </w:r>
            <w:r>
              <w:rPr>
                <w:rFonts w:ascii="Calibri" w:hAnsi="Calibri"/>
                <w:b/>
                <w:color w:val="003366"/>
                <w:sz w:val="20"/>
              </w:rPr>
              <w:t>SHRI AJEET KUMAR</w:t>
              <w:br/>
              <w:t>Chief Manager, Credit &amp; Risk Management</w:t>
              <w:br/>
              <w:t>Project Guide &amp; Mentor</w:t>
              <w:br/>
              <w:t>Central Bank of India, Visakhapatnam</w:t>
            </w:r>
          </w:p>
        </w:tc>
        <w:tc>
          <w:tcPr>
            <w:tcW w:type="dxa" w:w="4680"/>
          </w:tcPr>
          <w:p>
            <w:pPr>
              <w:jc w:val="center"/>
            </w:pPr>
            <w:r>
              <w:rPr>
                <w:b/>
                <w:color w:val="64748B"/>
              </w:rPr>
              <w:t>_____________________________________</w:t>
              <w:br/>
            </w:r>
            <w:r>
              <w:rPr>
                <w:rFonts w:ascii="Calibri" w:hAnsi="Calibri"/>
                <w:b/>
                <w:color w:val="003366"/>
                <w:sz w:val="20"/>
              </w:rPr>
              <w:t>SMT. JYOTHI IMANDI</w:t>
              <w:br/>
              <w:t>Human Capital Management (HCM)</w:t>
              <w:br/>
              <w:t>Regional Office, Visakhapatnam</w:t>
              <w:br/>
              <w:t>Central Bank of India, Visakhapatnam</w:t>
            </w:r>
          </w:p>
        </w:tc>
      </w:tr>
      <w:tr>
        <w:tc>
          <w:tcPr>
            <w:tcW w:type="dxa" w:w="4680"/>
          </w:tcPr>
          <w:p>
            <w:r>
              <w:rPr>
                <w:rFonts w:ascii="Calibri" w:hAnsi="Calibri"/>
                <w:color w:val="64748B"/>
                <w:sz w:val="19"/>
              </w:rPr>
              <w:br/>
              <w:t>Date: 25th August 2026</w:t>
              <w:br/>
              <w:t>Place: Visakhapatnam, Andhra Pradesh</w:t>
            </w:r>
          </w:p>
        </w:tc>
        <w:tc>
          <w:tcPr>
            <w:tcW w:type="dxa" w:w="4680"/>
          </w:tcPr>
          <w:p/>
        </w:tc>
      </w:tr>
    </w:tbl>
    <w:p>
      <w:r>
        <w:br w:type="page"/>
      </w:r>
    </w:p>
    <w:p>
      <w:pPr>
        <w:spacing w:after="400"/>
        <w:jc w:val="center"/>
      </w:pPr>
      <w:r>
        <w:rPr>
          <w:rFonts w:ascii="Arial" w:hAnsi="Arial"/>
          <w:b/>
          <w:color w:val="003366"/>
          <w:sz w:val="30"/>
        </w:rPr>
        <w:t>DECLARATION OF ORIGINALITY</w:t>
      </w:r>
    </w:p>
    <w:p>
      <w:pPr>
        <w:spacing w:after="800"/>
      </w:pPr>
      <w:r>
        <w:rPr>
          <w:rFonts w:ascii="Calibri" w:hAnsi="Calibri"/>
          <w:color w:val="1E293B"/>
          <w:sz w:val="22"/>
        </w:rPr>
        <w:t>I, CHALUMURU VENKATA SAI KIRAN, hereby declare that this project report entitled "INTELLIGENT LOAN APPRAISAL SYSTEM (ILAS)" submitted to the Central Bank of India, Regional Office, Visakhapatnam, is a bona fide record of original research, design, and software development carried out by me during the 8-week internship period from 22nd June 2026 to 25th August 2026.</w:t>
        <w:br/>
        <w:br/>
        <w:t>I confirm that:</w:t>
        <w:br/>
        <w:br/>
        <w:t>1. The mathematical algorithms, multi-agent state machines, corporate financial spreading pipelines, machine learning risk architectures, and user interface implementations presented in this report were developed under the direct guidance of Shri Ajeet Kumar, Chief Manager, Central Bank of India.</w:t>
        <w:br/>
        <w:br/>
        <w:t>2. The quantitative credit underwriting formulations strictly reflect the official Reserve Bank of India (RBI) Master Directions and Central Bank of India Master Circulars (including the Master Circular on Rate of Interest dated 01.07.2026 and official MSE Credit Rating Models Form MSE 1 and Form MSE II).</w:t>
        <w:br/>
        <w:br/>
        <w:t>3. All customer demographic and financial data used for system stress-testing and demonstration have been synthetically generated or anonymized in strict compliance with the Digital Personal Data Protection (DPDP) Act 2023 and RBI Data Privacy norms.</w:t>
        <w:br/>
        <w:br/>
        <w:t>4. This report and the underlying software artifacts have been developed exclusively for institutional appraisal within the Central Bank of India.</w:t>
      </w:r>
    </w:p>
    <w:p>
      <w:pPr>
        <w:jc w:val="right"/>
      </w:pPr>
      <w:r>
        <w:rPr>
          <w:rFonts w:ascii="Calibri" w:hAnsi="Calibri"/>
          <w:b/>
          <w:color w:val="003366"/>
          <w:sz w:val="21"/>
        </w:rPr>
        <w:t>_____________________________________________</w:t>
        <w:br/>
        <w:t>CHALUMURU VENKATA SAI KIRAN</w:t>
        <w:br/>
        <w:t>Risk Management Intern</w:t>
        <w:br/>
        <w:t>Central Bank of India, Regional Office</w:t>
        <w:br/>
        <w:t>Visakhapatnam, Andhra Pradesh</w:t>
        <w:br/>
        <w:br/>
        <w:t>Date: 25th August 2026</w:t>
      </w:r>
    </w:p>
    <w:p>
      <w:r>
        <w:br w:type="page"/>
      </w:r>
    </w:p>
    <w:p>
      <w:pPr>
        <w:spacing w:after="400"/>
        <w:jc w:val="center"/>
      </w:pPr>
      <w:r>
        <w:rPr>
          <w:rFonts w:ascii="Arial" w:hAnsi="Arial"/>
          <w:b/>
          <w:color w:val="003366"/>
          <w:sz w:val="30"/>
        </w:rPr>
        <w:t>ACKNOWLEDGEMENTS</w:t>
      </w:r>
    </w:p>
    <w:p>
      <w:pPr>
        <w:spacing w:after="600"/>
      </w:pPr>
      <w:r>
        <w:rPr>
          <w:rFonts w:ascii="Calibri" w:hAnsi="Calibri"/>
          <w:color w:val="1E293B"/>
          <w:sz w:val="22"/>
        </w:rPr>
        <w:t>The successful completion of this institutional project report and the development of the Intelligent Loan Appraisal System (ILAS) would not have been possible without the invaluable guidance, administrative enablement, and professional encouragement provided by the leadership and officers of the Central Bank of India, Regional Office, Visakhapatnam.</w:t>
        <w:br/>
        <w:br/>
        <w:t>I extend my deepest gratitude and sincere respect to my project guide and mentor, Shri Ajeet Kumar,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br/>
        <w:br/>
        <w:t>I express my heartfelt gratitude to Smt. Jyothi Imandi,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br/>
        <w:b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br/>
        <w:br/>
        <w:t>Finally, I am indebted to my family and peers for their unwavering patience and support during this intensive endeavor.</w:t>
      </w:r>
    </w:p>
    <w:p>
      <w:pPr>
        <w:jc w:val="right"/>
      </w:pPr>
      <w:r>
        <w:rPr>
          <w:rFonts w:ascii="Calibri" w:hAnsi="Calibri"/>
          <w:b/>
          <w:color w:val="003366"/>
          <w:sz w:val="21"/>
        </w:rPr>
        <w:t>CHALUMURU VENKATA SAI KIRAN</w:t>
        <w:br/>
        <w:t>Risk Management Intern</w:t>
        <w:br/>
        <w:t>Central Bank of India, Regional Office, Visakhapatnam</w:t>
      </w:r>
    </w:p>
    <w:p>
      <w:r>
        <w:br w:type="page"/>
      </w:r>
    </w:p>
    <w:p>
      <w:pPr>
        <w:spacing w:after="320"/>
        <w:jc w:val="center"/>
      </w:pPr>
      <w:r>
        <w:rPr>
          <w:rFonts w:ascii="Arial" w:hAnsi="Arial"/>
          <w:b/>
          <w:color w:val="003366"/>
          <w:sz w:val="30"/>
        </w:rPr>
        <w:t>EXECUTIVE SUMMARY</w:t>
      </w:r>
    </w:p>
    <w:p>
      <w:r>
        <w:rPr>
          <w:rFonts w:ascii="Calibri" w:hAnsi="Calibri"/>
          <w:color w:val="1E293B"/>
          <w:sz w:val="22"/>
        </w:rPr>
        <w:t>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7 to 14 business days, introducing operational overhead, subjective variance, and risks of inadvertent regulatory slippage.</w:t>
        <w:br/>
        <w:br/>
        <w:t>To resolve these systemic bottlenecks, this 8-week internship project engineered and validated the Central Bank of India Intelligent Loan Appraisal System (ILAS)—an autonomous, institutional-grade, multi-agent AI credit appraisal platform.</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Pr>
          <w:p>
            <w:r>
              <w:rPr>
                <w:rFonts w:ascii="Calibri" w:hAnsi="Calibri"/>
                <w:b/>
                <w:color w:val="003366"/>
                <w:sz w:val="22"/>
              </w:rPr>
              <w:t>🏛️ Core Architectural Contributions &amp; Technical Deliverables:</w:t>
              <w:br/>
              <w:br/>
            </w:r>
            <w:r>
              <w:rPr>
                <w:rFonts w:ascii="Calibri" w:hAnsi="Calibri"/>
                <w:color w:val="1E293B"/>
                <w:sz w:val="20"/>
              </w:rPr>
              <w:t>1. Deterministic 11-Node LangGraph State Machine: Orchestrates Customer (PII Masking), Document OCR, KYC, Bank Penny Drop, Financial Ratio, ML Risk (XGBoost/SHAP), Hybrid RAG, Corporate Intelligence &amp; Forensics, Sanction Compliance, Decision Synthesis, and Report Writing nodes.</w:t>
              <w:br/>
              <w:br/>
            </w:r>
            <w:r>
              <w:rPr>
                <w:rFonts w:ascii="Calibri" w:hAnsi="Calibri"/>
                <w:color w:val="1E293B"/>
                <w:sz w:val="20"/>
              </w:rPr>
              <w:t>2. Form MSE 1 &amp; Form MSE II Scoring Engines: Integrates official Central Bank MSME rating matrices, mapping borrowers to the 10-Tier CBI Risk Rating Grid (CBI 1 to CBI 10) with mandatory 50-mark Hurdle Rate and Defaulter Override Rule enforcement.</w:t>
              <w:br/>
              <w:br/>
            </w:r>
            <w:r>
              <w:rPr>
                <w:rFonts w:ascii="Calibri" w:hAnsi="Calibri"/>
                <w:color w:val="1E293B"/>
                <w:sz w:val="20"/>
              </w:rPr>
              <w:t>3. Dynamic RBLR Pricing Engine: Pegged to the 01.07.2026 Master Circular on Rate of Interest, dynamically computing RBLR (8.25% base) + CRP + BSP - CGTMSE concessions.</w:t>
              <w:br/>
              <w:br/>
            </w:r>
            <w:r>
              <w:rPr>
                <w:rFonts w:ascii="Calibri" w:hAnsi="Calibri"/>
                <w:color w:val="1E293B"/>
                <w:sz w:val="20"/>
              </w:rPr>
              <w:t>4. Corporate Financial Intelligence &amp; Forensic Valuation Suite: Features 3-Year CMA spreading, 5-Pillar Diagnostics, Tandon/Nayak MPBF sizing, Emerging Market Altman Z''-Score, Beneish M-Score (5 indices), 3-Year Macro Stress Simulator, and DCF Enterprise Valuation.</w:t>
              <w:br/>
              <w:br/>
            </w:r>
            <w:r>
              <w:rPr>
                <w:rFonts w:ascii="Calibri" w:hAnsi="Calibri"/>
                <w:color w:val="1E293B"/>
                <w:sz w:val="20"/>
              </w:rPr>
              <w:t>5. Human-in-the-Loop Governance: Strict Zero Auto-Sanction Policy pausing executions in PostgreSQL checkpointer (WAITING_FOR_MANAGER) for Credit Manager approval or justification logging.</w:t>
              <w:br/>
              <w:br/>
            </w:r>
          </w:p>
        </w:tc>
      </w:tr>
    </w:tbl>
    <w:p>
      <w:r>
        <w:br w:type="page"/>
      </w:r>
    </w:p>
    <w:p>
      <w:pPr>
        <w:spacing w:after="320"/>
        <w:jc w:val="center"/>
      </w:pPr>
      <w:r>
        <w:rPr>
          <w:rFonts w:ascii="Arial" w:hAnsi="Arial"/>
          <w:b/>
          <w:color w:val="003366"/>
          <w:sz w:val="30"/>
        </w:rPr>
        <w:t>GLOSSARY OF BANKING &amp; TECHNICAL ACRONYMS</w:t>
      </w:r>
    </w:p>
    <w:tbl>
      <w:tblPr>
        <w:tblW w:type="auto" w:w="0"/>
        <w:jc w:val="center"/>
        <w:tblLook w:firstColumn="1" w:firstRow="1" w:lastColumn="0" w:lastRow="0" w:noHBand="0" w:noVBand="1" w:val="04A0"/>
      </w:tblPr>
      <w:tblGrid>
        <w:gridCol w:w="4680"/>
        <w:gridCol w:w="4680"/>
      </w:tblGrid>
      <w:tr>
        <w:tc>
          <w:tcPr>
            <w:tcW w:type="dxa" w:w="2592"/>
            <w:shd w:fill="003366"/>
            <w:tcMar>
              <w:top w:w="80" w:type="dxa"/>
              <w:bottom w:w="80" w:type="dxa"/>
              <w:left w:w="120" w:type="dxa"/>
              <w:right w:w="120" w:type="dxa"/>
            </w:tcMar>
          </w:tcPr>
          <w:p>
            <w:r>
              <w:rPr>
                <w:rFonts w:ascii="Calibri" w:hAnsi="Calibri"/>
                <w:b/>
                <w:color w:val="FFFFFF"/>
                <w:sz w:val="20"/>
              </w:rPr>
              <w:t>ACRONYM</w:t>
            </w:r>
          </w:p>
        </w:tc>
        <w:tc>
          <w:tcPr>
            <w:tcW w:type="dxa" w:w="6768"/>
            <w:shd w:fill="003366"/>
            <w:tcMar>
              <w:top w:w="80" w:type="dxa"/>
              <w:bottom w:w="80" w:type="dxa"/>
              <w:left w:w="120" w:type="dxa"/>
              <w:right w:w="120" w:type="dxa"/>
            </w:tcMar>
          </w:tcPr>
          <w:p>
            <w:r>
              <w:rPr>
                <w:rFonts w:ascii="Calibri" w:hAnsi="Calibri"/>
                <w:b/>
                <w:color w:val="FFFFFF"/>
                <w:sz w:val="20"/>
              </w:rPr>
              <w:t>INSTITUTIONAL BANKING &amp; TECHNICAL MEANING</w:t>
            </w:r>
          </w:p>
        </w:tc>
      </w:tr>
      <w:tr>
        <w:tc>
          <w:tcPr>
            <w:tcW w:type="dxa" w:w="2592"/>
            <w:shd w:fill="F8FAFC"/>
            <w:tcMar>
              <w:top w:w="60" w:type="dxa"/>
              <w:bottom w:w="60" w:type="dxa"/>
              <w:left w:w="100" w:type="dxa"/>
              <w:right w:w="100" w:type="dxa"/>
            </w:tcMar>
          </w:tcPr>
          <w:p>
            <w:r>
              <w:rPr>
                <w:rFonts w:ascii="Calibri" w:hAnsi="Calibri"/>
                <w:b/>
                <w:color w:val="003366"/>
                <w:sz w:val="19"/>
              </w:rPr>
              <w:t>ALCO</w:t>
            </w:r>
          </w:p>
        </w:tc>
        <w:tc>
          <w:tcPr>
            <w:tcW w:type="dxa" w:w="6768"/>
            <w:shd w:fill="F8FAFC"/>
            <w:tcMar>
              <w:top w:w="60" w:type="dxa"/>
              <w:bottom w:w="60" w:type="dxa"/>
              <w:left w:w="100" w:type="dxa"/>
              <w:right w:w="100" w:type="dxa"/>
            </w:tcMar>
          </w:tcPr>
          <w:p>
            <w:r>
              <w:rPr>
                <w:rFonts w:ascii="Calibri" w:hAnsi="Calibri"/>
                <w:color w:val="1E293B"/>
                <w:sz w:val="19"/>
              </w:rPr>
              <w:t>Asset-Liability Management Committee</w:t>
            </w:r>
          </w:p>
        </w:tc>
      </w:tr>
      <w:tr>
        <w:tc>
          <w:tcPr>
            <w:tcW w:type="dxa" w:w="2592"/>
            <w:shd w:fill="FFFFFF"/>
            <w:tcMar>
              <w:top w:w="60" w:type="dxa"/>
              <w:bottom w:w="60" w:type="dxa"/>
              <w:left w:w="100" w:type="dxa"/>
              <w:right w:w="100" w:type="dxa"/>
            </w:tcMar>
          </w:tcPr>
          <w:p>
            <w:r>
              <w:rPr>
                <w:rFonts w:ascii="Calibri" w:hAnsi="Calibri"/>
                <w:b/>
                <w:color w:val="003366"/>
                <w:sz w:val="19"/>
              </w:rPr>
              <w:t>AML</w:t>
            </w:r>
          </w:p>
        </w:tc>
        <w:tc>
          <w:tcPr>
            <w:tcW w:type="dxa" w:w="6768"/>
            <w:shd w:fill="FFFFFF"/>
            <w:tcMar>
              <w:top w:w="60" w:type="dxa"/>
              <w:bottom w:w="60" w:type="dxa"/>
              <w:left w:w="100" w:type="dxa"/>
              <w:right w:w="100" w:type="dxa"/>
            </w:tcMar>
          </w:tcPr>
          <w:p>
            <w:r>
              <w:rPr>
                <w:rFonts w:ascii="Calibri" w:hAnsi="Calibri"/>
                <w:color w:val="1E293B"/>
                <w:sz w:val="19"/>
              </w:rPr>
              <w:t>Anti-Money Laundering</w:t>
            </w:r>
          </w:p>
        </w:tc>
      </w:tr>
      <w:tr>
        <w:tc>
          <w:tcPr>
            <w:tcW w:type="dxa" w:w="2592"/>
            <w:shd w:fill="F8FAFC"/>
            <w:tcMar>
              <w:top w:w="60" w:type="dxa"/>
              <w:bottom w:w="60" w:type="dxa"/>
              <w:left w:w="100" w:type="dxa"/>
              <w:right w:w="100" w:type="dxa"/>
            </w:tcMar>
          </w:tcPr>
          <w:p>
            <w:r>
              <w:rPr>
                <w:rFonts w:ascii="Calibri" w:hAnsi="Calibri"/>
                <w:b/>
                <w:color w:val="003366"/>
                <w:sz w:val="19"/>
              </w:rPr>
              <w:t>AQI</w:t>
            </w:r>
          </w:p>
        </w:tc>
        <w:tc>
          <w:tcPr>
            <w:tcW w:type="dxa" w:w="6768"/>
            <w:shd w:fill="F8FAFC"/>
            <w:tcMar>
              <w:top w:w="60" w:type="dxa"/>
              <w:bottom w:w="60" w:type="dxa"/>
              <w:left w:w="100" w:type="dxa"/>
              <w:right w:w="100" w:type="dxa"/>
            </w:tcMar>
          </w:tcPr>
          <w:p>
            <w:r>
              <w:rPr>
                <w:rFonts w:ascii="Calibri" w:hAnsi="Calibri"/>
                <w:color w:val="1E293B"/>
                <w:sz w:val="19"/>
              </w:rPr>
              <w:t>Asset Quality Index (Beneish M-Score Parameter)</w:t>
            </w:r>
          </w:p>
        </w:tc>
      </w:tr>
      <w:tr>
        <w:tc>
          <w:tcPr>
            <w:tcW w:type="dxa" w:w="2592"/>
            <w:shd w:fill="FFFFFF"/>
            <w:tcMar>
              <w:top w:w="60" w:type="dxa"/>
              <w:bottom w:w="60" w:type="dxa"/>
              <w:left w:w="100" w:type="dxa"/>
              <w:right w:w="100" w:type="dxa"/>
            </w:tcMar>
          </w:tcPr>
          <w:p>
            <w:r>
              <w:rPr>
                <w:rFonts w:ascii="Calibri" w:hAnsi="Calibri"/>
                <w:b/>
                <w:color w:val="003366"/>
                <w:sz w:val="19"/>
              </w:rPr>
              <w:t>BSP</w:t>
            </w:r>
          </w:p>
        </w:tc>
        <w:tc>
          <w:tcPr>
            <w:tcW w:type="dxa" w:w="6768"/>
            <w:shd w:fill="FFFFFF"/>
            <w:tcMar>
              <w:top w:w="60" w:type="dxa"/>
              <w:bottom w:w="60" w:type="dxa"/>
              <w:left w:w="100" w:type="dxa"/>
              <w:right w:w="100" w:type="dxa"/>
            </w:tcMar>
          </w:tcPr>
          <w:p>
            <w:r>
              <w:rPr>
                <w:rFonts w:ascii="Calibri" w:hAnsi="Calibri"/>
                <w:color w:val="1E293B"/>
                <w:sz w:val="19"/>
              </w:rPr>
              <w:t>Business Strategy Premium (Rate of Interest Component)</w:t>
            </w:r>
          </w:p>
        </w:tc>
      </w:tr>
      <w:tr>
        <w:tc>
          <w:tcPr>
            <w:tcW w:type="dxa" w:w="2592"/>
            <w:shd w:fill="F8FAFC"/>
            <w:tcMar>
              <w:top w:w="60" w:type="dxa"/>
              <w:bottom w:w="60" w:type="dxa"/>
              <w:left w:w="100" w:type="dxa"/>
              <w:right w:w="100" w:type="dxa"/>
            </w:tcMar>
          </w:tcPr>
          <w:p>
            <w:r>
              <w:rPr>
                <w:rFonts w:ascii="Calibri" w:hAnsi="Calibri"/>
                <w:b/>
                <w:color w:val="003366"/>
                <w:sz w:val="19"/>
              </w:rPr>
              <w:t>CAM</w:t>
            </w:r>
          </w:p>
        </w:tc>
        <w:tc>
          <w:tcPr>
            <w:tcW w:type="dxa" w:w="6768"/>
            <w:shd w:fill="F8FAFC"/>
            <w:tcMar>
              <w:top w:w="60" w:type="dxa"/>
              <w:bottom w:w="60" w:type="dxa"/>
              <w:left w:w="100" w:type="dxa"/>
              <w:right w:w="100" w:type="dxa"/>
            </w:tcMar>
          </w:tcPr>
          <w:p>
            <w:r>
              <w:rPr>
                <w:rFonts w:ascii="Calibri" w:hAnsi="Calibri"/>
                <w:color w:val="1E293B"/>
                <w:sz w:val="19"/>
              </w:rPr>
              <w:t>Credit Appraisal Memorandum</w:t>
            </w:r>
          </w:p>
        </w:tc>
      </w:tr>
      <w:tr>
        <w:tc>
          <w:tcPr>
            <w:tcW w:type="dxa" w:w="2592"/>
            <w:shd w:fill="FFFFFF"/>
            <w:tcMar>
              <w:top w:w="60" w:type="dxa"/>
              <w:bottom w:w="60" w:type="dxa"/>
              <w:left w:w="100" w:type="dxa"/>
              <w:right w:w="100" w:type="dxa"/>
            </w:tcMar>
          </w:tcPr>
          <w:p>
            <w:r>
              <w:rPr>
                <w:rFonts w:ascii="Calibri" w:hAnsi="Calibri"/>
                <w:b/>
                <w:color w:val="003366"/>
                <w:sz w:val="19"/>
              </w:rPr>
              <w:t>CBI</w:t>
            </w:r>
          </w:p>
        </w:tc>
        <w:tc>
          <w:tcPr>
            <w:tcW w:type="dxa" w:w="6768"/>
            <w:shd w:fill="FFFFFF"/>
            <w:tcMar>
              <w:top w:w="60" w:type="dxa"/>
              <w:bottom w:w="60" w:type="dxa"/>
              <w:left w:w="100" w:type="dxa"/>
              <w:right w:w="100" w:type="dxa"/>
            </w:tcMar>
          </w:tcPr>
          <w:p>
            <w:r>
              <w:rPr>
                <w:rFonts w:ascii="Calibri" w:hAnsi="Calibri"/>
                <w:color w:val="1E293B"/>
                <w:sz w:val="19"/>
              </w:rPr>
              <w:t>Central Bank of India (Risk Rating Suffix: CBI 1 to CBI 10)</w:t>
            </w:r>
          </w:p>
        </w:tc>
      </w:tr>
      <w:tr>
        <w:tc>
          <w:tcPr>
            <w:tcW w:type="dxa" w:w="2592"/>
            <w:shd w:fill="F8FAFC"/>
            <w:tcMar>
              <w:top w:w="60" w:type="dxa"/>
              <w:bottom w:w="60" w:type="dxa"/>
              <w:left w:w="100" w:type="dxa"/>
              <w:right w:w="100" w:type="dxa"/>
            </w:tcMar>
          </w:tcPr>
          <w:p>
            <w:r>
              <w:rPr>
                <w:rFonts w:ascii="Calibri" w:hAnsi="Calibri"/>
                <w:b/>
                <w:color w:val="003366"/>
                <w:sz w:val="19"/>
              </w:rPr>
              <w:t>CBOI</w:t>
            </w:r>
          </w:p>
        </w:tc>
        <w:tc>
          <w:tcPr>
            <w:tcW w:type="dxa" w:w="6768"/>
            <w:shd w:fill="F8FAFC"/>
            <w:tcMar>
              <w:top w:w="60" w:type="dxa"/>
              <w:bottom w:w="60" w:type="dxa"/>
              <w:left w:w="100" w:type="dxa"/>
              <w:right w:w="100" w:type="dxa"/>
            </w:tcMar>
          </w:tcPr>
          <w:p>
            <w:r>
              <w:rPr>
                <w:rFonts w:ascii="Calibri" w:hAnsi="Calibri"/>
                <w:color w:val="1E293B"/>
                <w:sz w:val="19"/>
              </w:rPr>
              <w:t>Central Bank of India</w:t>
            </w:r>
          </w:p>
        </w:tc>
      </w:tr>
      <w:tr>
        <w:tc>
          <w:tcPr>
            <w:tcW w:type="dxa" w:w="2592"/>
            <w:shd w:fill="FFFFFF"/>
            <w:tcMar>
              <w:top w:w="60" w:type="dxa"/>
              <w:bottom w:w="60" w:type="dxa"/>
              <w:left w:w="100" w:type="dxa"/>
              <w:right w:w="100" w:type="dxa"/>
            </w:tcMar>
          </w:tcPr>
          <w:p>
            <w:r>
              <w:rPr>
                <w:rFonts w:ascii="Calibri" w:hAnsi="Calibri"/>
                <w:b/>
                <w:color w:val="003366"/>
                <w:sz w:val="19"/>
              </w:rPr>
              <w:t>CBS</w:t>
            </w:r>
          </w:p>
        </w:tc>
        <w:tc>
          <w:tcPr>
            <w:tcW w:type="dxa" w:w="6768"/>
            <w:shd w:fill="FFFFFF"/>
            <w:tcMar>
              <w:top w:w="60" w:type="dxa"/>
              <w:bottom w:w="60" w:type="dxa"/>
              <w:left w:w="100" w:type="dxa"/>
              <w:right w:w="100" w:type="dxa"/>
            </w:tcMar>
          </w:tcPr>
          <w:p>
            <w:r>
              <w:rPr>
                <w:rFonts w:ascii="Calibri" w:hAnsi="Calibri"/>
                <w:color w:val="1E293B"/>
                <w:sz w:val="19"/>
              </w:rPr>
              <w:t>Core Banking Solution (Finacle / TCS BaNCS)</w:t>
            </w:r>
          </w:p>
        </w:tc>
      </w:tr>
      <w:tr>
        <w:tc>
          <w:tcPr>
            <w:tcW w:type="dxa" w:w="2592"/>
            <w:shd w:fill="F8FAFC"/>
            <w:tcMar>
              <w:top w:w="60" w:type="dxa"/>
              <w:bottom w:w="60" w:type="dxa"/>
              <w:left w:w="100" w:type="dxa"/>
              <w:right w:w="100" w:type="dxa"/>
            </w:tcMar>
          </w:tcPr>
          <w:p>
            <w:r>
              <w:rPr>
                <w:rFonts w:ascii="Calibri" w:hAnsi="Calibri"/>
                <w:b/>
                <w:color w:val="003366"/>
                <w:sz w:val="19"/>
              </w:rPr>
              <w:t>CGTMSE</w:t>
            </w:r>
          </w:p>
        </w:tc>
        <w:tc>
          <w:tcPr>
            <w:tcW w:type="dxa" w:w="6768"/>
            <w:shd w:fill="F8FAFC"/>
            <w:tcMar>
              <w:top w:w="60" w:type="dxa"/>
              <w:bottom w:w="60" w:type="dxa"/>
              <w:left w:w="100" w:type="dxa"/>
              <w:right w:w="100" w:type="dxa"/>
            </w:tcMar>
          </w:tcPr>
          <w:p>
            <w:r>
              <w:rPr>
                <w:rFonts w:ascii="Calibri" w:hAnsi="Calibri"/>
                <w:color w:val="1E293B"/>
                <w:sz w:val="19"/>
              </w:rPr>
              <w:t>Credit Guarantee Fund Trust for Micro and Small Enterprises</w:t>
            </w:r>
          </w:p>
        </w:tc>
      </w:tr>
      <w:tr>
        <w:tc>
          <w:tcPr>
            <w:tcW w:type="dxa" w:w="2592"/>
            <w:shd w:fill="FFFFFF"/>
            <w:tcMar>
              <w:top w:w="60" w:type="dxa"/>
              <w:bottom w:w="60" w:type="dxa"/>
              <w:left w:w="100" w:type="dxa"/>
              <w:right w:w="100" w:type="dxa"/>
            </w:tcMar>
          </w:tcPr>
          <w:p>
            <w:r>
              <w:rPr>
                <w:rFonts w:ascii="Calibri" w:hAnsi="Calibri"/>
                <w:b/>
                <w:color w:val="003366"/>
                <w:sz w:val="19"/>
              </w:rPr>
              <w:t>CIBIL</w:t>
            </w:r>
          </w:p>
        </w:tc>
        <w:tc>
          <w:tcPr>
            <w:tcW w:type="dxa" w:w="6768"/>
            <w:shd w:fill="FFFFFF"/>
            <w:tcMar>
              <w:top w:w="60" w:type="dxa"/>
              <w:bottom w:w="60" w:type="dxa"/>
              <w:left w:w="100" w:type="dxa"/>
              <w:right w:w="100" w:type="dxa"/>
            </w:tcMar>
          </w:tcPr>
          <w:p>
            <w:r>
              <w:rPr>
                <w:rFonts w:ascii="Calibri" w:hAnsi="Calibri"/>
                <w:color w:val="1E293B"/>
                <w:sz w:val="19"/>
              </w:rPr>
              <w:t>Credit Information Bureau (India) Limited</w:t>
            </w:r>
          </w:p>
        </w:tc>
      </w:tr>
      <w:tr>
        <w:tc>
          <w:tcPr>
            <w:tcW w:type="dxa" w:w="2592"/>
            <w:shd w:fill="F8FAFC"/>
            <w:tcMar>
              <w:top w:w="60" w:type="dxa"/>
              <w:bottom w:w="60" w:type="dxa"/>
              <w:left w:w="100" w:type="dxa"/>
              <w:right w:w="100" w:type="dxa"/>
            </w:tcMar>
          </w:tcPr>
          <w:p>
            <w:r>
              <w:rPr>
                <w:rFonts w:ascii="Calibri" w:hAnsi="Calibri"/>
                <w:b/>
                <w:color w:val="003366"/>
                <w:sz w:val="19"/>
              </w:rPr>
              <w:t>CMA</w:t>
            </w:r>
          </w:p>
        </w:tc>
        <w:tc>
          <w:tcPr>
            <w:tcW w:type="dxa" w:w="6768"/>
            <w:shd w:fill="F8FAFC"/>
            <w:tcMar>
              <w:top w:w="60" w:type="dxa"/>
              <w:bottom w:w="60" w:type="dxa"/>
              <w:left w:w="100" w:type="dxa"/>
              <w:right w:w="100" w:type="dxa"/>
            </w:tcMar>
          </w:tcPr>
          <w:p>
            <w:r>
              <w:rPr>
                <w:rFonts w:ascii="Calibri" w:hAnsi="Calibri"/>
                <w:color w:val="1E293B"/>
                <w:sz w:val="19"/>
              </w:rPr>
              <w:t>Credit Monitoring Arrangement (Financial Statement Spreading Format)</w:t>
            </w:r>
          </w:p>
        </w:tc>
      </w:tr>
      <w:tr>
        <w:tc>
          <w:tcPr>
            <w:tcW w:type="dxa" w:w="2592"/>
            <w:shd w:fill="FFFFFF"/>
            <w:tcMar>
              <w:top w:w="60" w:type="dxa"/>
              <w:bottom w:w="60" w:type="dxa"/>
              <w:left w:w="100" w:type="dxa"/>
              <w:right w:w="100" w:type="dxa"/>
            </w:tcMar>
          </w:tcPr>
          <w:p>
            <w:r>
              <w:rPr>
                <w:rFonts w:ascii="Calibri" w:hAnsi="Calibri"/>
                <w:b/>
                <w:color w:val="003366"/>
                <w:sz w:val="19"/>
              </w:rPr>
              <w:t>CR</w:t>
            </w:r>
          </w:p>
        </w:tc>
        <w:tc>
          <w:tcPr>
            <w:tcW w:type="dxa" w:w="6768"/>
            <w:shd w:fill="FFFFFF"/>
            <w:tcMar>
              <w:top w:w="60" w:type="dxa"/>
              <w:bottom w:w="60" w:type="dxa"/>
              <w:left w:w="100" w:type="dxa"/>
              <w:right w:w="100" w:type="dxa"/>
            </w:tcMar>
          </w:tcPr>
          <w:p>
            <w:r>
              <w:rPr>
                <w:rFonts w:ascii="Calibri" w:hAnsi="Calibri"/>
                <w:color w:val="1E293B"/>
                <w:sz w:val="19"/>
              </w:rPr>
              <w:t>Current Ratio (Current Assets / Current Liabilities)</w:t>
            </w:r>
          </w:p>
        </w:tc>
      </w:tr>
      <w:tr>
        <w:tc>
          <w:tcPr>
            <w:tcW w:type="dxa" w:w="2592"/>
            <w:shd w:fill="F8FAFC"/>
            <w:tcMar>
              <w:top w:w="60" w:type="dxa"/>
              <w:bottom w:w="60" w:type="dxa"/>
              <w:left w:w="100" w:type="dxa"/>
              <w:right w:w="100" w:type="dxa"/>
            </w:tcMar>
          </w:tcPr>
          <w:p>
            <w:r>
              <w:rPr>
                <w:rFonts w:ascii="Calibri" w:hAnsi="Calibri"/>
                <w:b/>
                <w:color w:val="003366"/>
                <w:sz w:val="19"/>
              </w:rPr>
              <w:t>CRP</w:t>
            </w:r>
          </w:p>
        </w:tc>
        <w:tc>
          <w:tcPr>
            <w:tcW w:type="dxa" w:w="6768"/>
            <w:shd w:fill="F8FAFC"/>
            <w:tcMar>
              <w:top w:w="60" w:type="dxa"/>
              <w:bottom w:w="60" w:type="dxa"/>
              <w:left w:w="100" w:type="dxa"/>
              <w:right w:w="100" w:type="dxa"/>
            </w:tcMar>
          </w:tcPr>
          <w:p>
            <w:r>
              <w:rPr>
                <w:rFonts w:ascii="Calibri" w:hAnsi="Calibri"/>
                <w:color w:val="1E293B"/>
                <w:sz w:val="19"/>
              </w:rPr>
              <w:t>Credit Risk Premium (Spread over Base Lending Rate)</w:t>
            </w:r>
          </w:p>
        </w:tc>
      </w:tr>
      <w:tr>
        <w:tc>
          <w:tcPr>
            <w:tcW w:type="dxa" w:w="2592"/>
            <w:shd w:fill="FFFFFF"/>
            <w:tcMar>
              <w:top w:w="60" w:type="dxa"/>
              <w:bottom w:w="60" w:type="dxa"/>
              <w:left w:w="100" w:type="dxa"/>
              <w:right w:w="100" w:type="dxa"/>
            </w:tcMar>
          </w:tcPr>
          <w:p>
            <w:r>
              <w:rPr>
                <w:rFonts w:ascii="Calibri" w:hAnsi="Calibri"/>
                <w:b/>
                <w:color w:val="003366"/>
                <w:sz w:val="19"/>
              </w:rPr>
              <w:t>DCF</w:t>
            </w:r>
          </w:p>
        </w:tc>
        <w:tc>
          <w:tcPr>
            <w:tcW w:type="dxa" w:w="6768"/>
            <w:shd w:fill="FFFFFF"/>
            <w:tcMar>
              <w:top w:w="60" w:type="dxa"/>
              <w:bottom w:w="60" w:type="dxa"/>
              <w:left w:w="100" w:type="dxa"/>
              <w:right w:w="100" w:type="dxa"/>
            </w:tcMar>
          </w:tcPr>
          <w:p>
            <w:r>
              <w:rPr>
                <w:rFonts w:ascii="Calibri" w:hAnsi="Calibri"/>
                <w:color w:val="1E293B"/>
                <w:sz w:val="19"/>
              </w:rPr>
              <w:t>Discounted Cash Flow Valuation</w:t>
            </w:r>
          </w:p>
        </w:tc>
      </w:tr>
      <w:tr>
        <w:tc>
          <w:tcPr>
            <w:tcW w:type="dxa" w:w="2592"/>
            <w:shd w:fill="F8FAFC"/>
            <w:tcMar>
              <w:top w:w="60" w:type="dxa"/>
              <w:bottom w:w="60" w:type="dxa"/>
              <w:left w:w="100" w:type="dxa"/>
              <w:right w:w="100" w:type="dxa"/>
            </w:tcMar>
          </w:tcPr>
          <w:p>
            <w:r>
              <w:rPr>
                <w:rFonts w:ascii="Calibri" w:hAnsi="Calibri"/>
                <w:b/>
                <w:color w:val="003366"/>
                <w:sz w:val="19"/>
              </w:rPr>
              <w:t>DER</w:t>
            </w:r>
          </w:p>
        </w:tc>
        <w:tc>
          <w:tcPr>
            <w:tcW w:type="dxa" w:w="6768"/>
            <w:shd w:fill="F8FAFC"/>
            <w:tcMar>
              <w:top w:w="60" w:type="dxa"/>
              <w:bottom w:w="60" w:type="dxa"/>
              <w:left w:w="100" w:type="dxa"/>
              <w:right w:w="100" w:type="dxa"/>
            </w:tcMar>
          </w:tcPr>
          <w:p>
            <w:r>
              <w:rPr>
                <w:rFonts w:ascii="Calibri" w:hAnsi="Calibri"/>
                <w:color w:val="1E293B"/>
                <w:sz w:val="19"/>
              </w:rPr>
              <w:t>Debt-Equity Ratio (Long-Term Debt / Tangible Net Worth)</w:t>
            </w:r>
          </w:p>
        </w:tc>
      </w:tr>
      <w:tr>
        <w:tc>
          <w:tcPr>
            <w:tcW w:type="dxa" w:w="2592"/>
            <w:shd w:fill="FFFFFF"/>
            <w:tcMar>
              <w:top w:w="60" w:type="dxa"/>
              <w:bottom w:w="60" w:type="dxa"/>
              <w:left w:w="100" w:type="dxa"/>
              <w:right w:w="100" w:type="dxa"/>
            </w:tcMar>
          </w:tcPr>
          <w:p>
            <w:r>
              <w:rPr>
                <w:rFonts w:ascii="Calibri" w:hAnsi="Calibri"/>
                <w:b/>
                <w:color w:val="003366"/>
                <w:sz w:val="19"/>
              </w:rPr>
              <w:t>DPDP</w:t>
            </w:r>
          </w:p>
        </w:tc>
        <w:tc>
          <w:tcPr>
            <w:tcW w:type="dxa" w:w="6768"/>
            <w:shd w:fill="FFFFFF"/>
            <w:tcMar>
              <w:top w:w="60" w:type="dxa"/>
              <w:bottom w:w="60" w:type="dxa"/>
              <w:left w:w="100" w:type="dxa"/>
              <w:right w:w="100" w:type="dxa"/>
            </w:tcMar>
          </w:tcPr>
          <w:p>
            <w:r>
              <w:rPr>
                <w:rFonts w:ascii="Calibri" w:hAnsi="Calibri"/>
                <w:color w:val="1E293B"/>
                <w:sz w:val="19"/>
              </w:rPr>
              <w:t>Digital Personal Data Protection Act 2023</w:t>
            </w:r>
          </w:p>
        </w:tc>
      </w:tr>
      <w:tr>
        <w:tc>
          <w:tcPr>
            <w:tcW w:type="dxa" w:w="2592"/>
            <w:shd w:fill="F8FAFC"/>
            <w:tcMar>
              <w:top w:w="60" w:type="dxa"/>
              <w:bottom w:w="60" w:type="dxa"/>
              <w:left w:w="100" w:type="dxa"/>
              <w:right w:w="100" w:type="dxa"/>
            </w:tcMar>
          </w:tcPr>
          <w:p>
            <w:r>
              <w:rPr>
                <w:rFonts w:ascii="Calibri" w:hAnsi="Calibri"/>
                <w:b/>
                <w:color w:val="003366"/>
                <w:sz w:val="19"/>
              </w:rPr>
              <w:t>DSCR</w:t>
            </w:r>
          </w:p>
        </w:tc>
        <w:tc>
          <w:tcPr>
            <w:tcW w:type="dxa" w:w="6768"/>
            <w:shd w:fill="F8FAFC"/>
            <w:tcMar>
              <w:top w:w="60" w:type="dxa"/>
              <w:bottom w:w="60" w:type="dxa"/>
              <w:left w:w="100" w:type="dxa"/>
              <w:right w:w="100" w:type="dxa"/>
            </w:tcMar>
          </w:tcPr>
          <w:p>
            <w:r>
              <w:rPr>
                <w:rFonts w:ascii="Calibri" w:hAnsi="Calibri"/>
                <w:color w:val="1E293B"/>
                <w:sz w:val="19"/>
              </w:rPr>
              <w:t>Debt Service Coverage Ratio</w:t>
            </w:r>
          </w:p>
        </w:tc>
      </w:tr>
      <w:tr>
        <w:tc>
          <w:tcPr>
            <w:tcW w:type="dxa" w:w="2592"/>
            <w:shd w:fill="FFFFFF"/>
            <w:tcMar>
              <w:top w:w="60" w:type="dxa"/>
              <w:bottom w:w="60" w:type="dxa"/>
              <w:left w:w="100" w:type="dxa"/>
              <w:right w:w="100" w:type="dxa"/>
            </w:tcMar>
          </w:tcPr>
          <w:p>
            <w:r>
              <w:rPr>
                <w:rFonts w:ascii="Calibri" w:hAnsi="Calibri"/>
                <w:b/>
                <w:color w:val="003366"/>
                <w:sz w:val="19"/>
              </w:rPr>
              <w:t>DSRI</w:t>
            </w:r>
          </w:p>
        </w:tc>
        <w:tc>
          <w:tcPr>
            <w:tcW w:type="dxa" w:w="6768"/>
            <w:shd w:fill="FFFFFF"/>
            <w:tcMar>
              <w:top w:w="60" w:type="dxa"/>
              <w:bottom w:w="60" w:type="dxa"/>
              <w:left w:w="100" w:type="dxa"/>
              <w:right w:w="100" w:type="dxa"/>
            </w:tcMar>
          </w:tcPr>
          <w:p>
            <w:r>
              <w:rPr>
                <w:rFonts w:ascii="Calibri" w:hAnsi="Calibri"/>
                <w:color w:val="1E293B"/>
                <w:sz w:val="19"/>
              </w:rPr>
              <w:t>Days Sales in Receivables Index (Beneish M-Score Parameter)</w:t>
            </w:r>
          </w:p>
        </w:tc>
      </w:tr>
      <w:tr>
        <w:tc>
          <w:tcPr>
            <w:tcW w:type="dxa" w:w="2592"/>
            <w:shd w:fill="F8FAFC"/>
            <w:tcMar>
              <w:top w:w="60" w:type="dxa"/>
              <w:bottom w:w="60" w:type="dxa"/>
              <w:left w:w="100" w:type="dxa"/>
              <w:right w:w="100" w:type="dxa"/>
            </w:tcMar>
          </w:tcPr>
          <w:p>
            <w:r>
              <w:rPr>
                <w:rFonts w:ascii="Calibri" w:hAnsi="Calibri"/>
                <w:b/>
                <w:color w:val="003366"/>
                <w:sz w:val="19"/>
              </w:rPr>
              <w:t>EBITDA</w:t>
            </w:r>
          </w:p>
        </w:tc>
        <w:tc>
          <w:tcPr>
            <w:tcW w:type="dxa" w:w="6768"/>
            <w:shd w:fill="F8FAFC"/>
            <w:tcMar>
              <w:top w:w="60" w:type="dxa"/>
              <w:bottom w:w="60" w:type="dxa"/>
              <w:left w:w="100" w:type="dxa"/>
              <w:right w:w="100" w:type="dxa"/>
            </w:tcMar>
          </w:tcPr>
          <w:p>
            <w:r>
              <w:rPr>
                <w:rFonts w:ascii="Calibri" w:hAnsi="Calibri"/>
                <w:color w:val="1E293B"/>
                <w:sz w:val="19"/>
              </w:rPr>
              <w:t>Earnings Before Interest, Taxes, Depreciation, and Amortization</w:t>
            </w:r>
          </w:p>
        </w:tc>
      </w:tr>
      <w:tr>
        <w:tc>
          <w:tcPr>
            <w:tcW w:type="dxa" w:w="2592"/>
            <w:shd w:fill="FFFFFF"/>
            <w:tcMar>
              <w:top w:w="60" w:type="dxa"/>
              <w:bottom w:w="60" w:type="dxa"/>
              <w:left w:w="100" w:type="dxa"/>
              <w:right w:w="100" w:type="dxa"/>
            </w:tcMar>
          </w:tcPr>
          <w:p>
            <w:r>
              <w:rPr>
                <w:rFonts w:ascii="Calibri" w:hAnsi="Calibri"/>
                <w:b/>
                <w:color w:val="003366"/>
                <w:sz w:val="19"/>
              </w:rPr>
              <w:t>EMI</w:t>
            </w:r>
          </w:p>
        </w:tc>
        <w:tc>
          <w:tcPr>
            <w:tcW w:type="dxa" w:w="6768"/>
            <w:shd w:fill="FFFFFF"/>
            <w:tcMar>
              <w:top w:w="60" w:type="dxa"/>
              <w:bottom w:w="60" w:type="dxa"/>
              <w:left w:w="100" w:type="dxa"/>
              <w:right w:w="100" w:type="dxa"/>
            </w:tcMar>
          </w:tcPr>
          <w:p>
            <w:r>
              <w:rPr>
                <w:rFonts w:ascii="Calibri" w:hAnsi="Calibri"/>
                <w:color w:val="1E293B"/>
                <w:sz w:val="19"/>
              </w:rPr>
              <w:t>Equated Monthly Installment</w:t>
            </w:r>
          </w:p>
        </w:tc>
      </w:tr>
      <w:tr>
        <w:tc>
          <w:tcPr>
            <w:tcW w:type="dxa" w:w="2592"/>
            <w:shd w:fill="F8FAFC"/>
            <w:tcMar>
              <w:top w:w="60" w:type="dxa"/>
              <w:bottom w:w="60" w:type="dxa"/>
              <w:left w:w="100" w:type="dxa"/>
              <w:right w:w="100" w:type="dxa"/>
            </w:tcMar>
          </w:tcPr>
          <w:p>
            <w:r>
              <w:rPr>
                <w:rFonts w:ascii="Calibri" w:hAnsi="Calibri"/>
                <w:b/>
                <w:color w:val="003366"/>
                <w:sz w:val="19"/>
              </w:rPr>
              <w:t>FCFF</w:t>
            </w:r>
          </w:p>
        </w:tc>
        <w:tc>
          <w:tcPr>
            <w:tcW w:type="dxa" w:w="6768"/>
            <w:shd w:fill="F8FAFC"/>
            <w:tcMar>
              <w:top w:w="60" w:type="dxa"/>
              <w:bottom w:w="60" w:type="dxa"/>
              <w:left w:w="100" w:type="dxa"/>
              <w:right w:w="100" w:type="dxa"/>
            </w:tcMar>
          </w:tcPr>
          <w:p>
            <w:r>
              <w:rPr>
                <w:rFonts w:ascii="Calibri" w:hAnsi="Calibri"/>
                <w:color w:val="1E293B"/>
                <w:sz w:val="19"/>
              </w:rPr>
              <w:t>Free Cash Flow to Firm</w:t>
            </w:r>
          </w:p>
        </w:tc>
      </w:tr>
      <w:tr>
        <w:tc>
          <w:tcPr>
            <w:tcW w:type="dxa" w:w="2592"/>
            <w:shd w:fill="FFFFFF"/>
            <w:tcMar>
              <w:top w:w="60" w:type="dxa"/>
              <w:bottom w:w="60" w:type="dxa"/>
              <w:left w:w="100" w:type="dxa"/>
              <w:right w:w="100" w:type="dxa"/>
            </w:tcMar>
          </w:tcPr>
          <w:p>
            <w:r>
              <w:rPr>
                <w:rFonts w:ascii="Calibri" w:hAnsi="Calibri"/>
                <w:b/>
                <w:color w:val="003366"/>
                <w:sz w:val="19"/>
              </w:rPr>
              <w:t>FOIR</w:t>
            </w:r>
          </w:p>
        </w:tc>
        <w:tc>
          <w:tcPr>
            <w:tcW w:type="dxa" w:w="6768"/>
            <w:shd w:fill="FFFFFF"/>
            <w:tcMar>
              <w:top w:w="60" w:type="dxa"/>
              <w:bottom w:w="60" w:type="dxa"/>
              <w:left w:w="100" w:type="dxa"/>
              <w:right w:w="100" w:type="dxa"/>
            </w:tcMar>
          </w:tcPr>
          <w:p>
            <w:r>
              <w:rPr>
                <w:rFonts w:ascii="Calibri" w:hAnsi="Calibri"/>
                <w:color w:val="1E293B"/>
                <w:sz w:val="19"/>
              </w:rPr>
              <w:t>Fixed Obligation to Income Ratio</w:t>
            </w:r>
          </w:p>
        </w:tc>
      </w:tr>
      <w:tr>
        <w:tc>
          <w:tcPr>
            <w:tcW w:type="dxa" w:w="2592"/>
            <w:shd w:fill="F8FAFC"/>
            <w:tcMar>
              <w:top w:w="60" w:type="dxa"/>
              <w:bottom w:w="60" w:type="dxa"/>
              <w:left w:w="100" w:type="dxa"/>
              <w:right w:w="100" w:type="dxa"/>
            </w:tcMar>
          </w:tcPr>
          <w:p>
            <w:r>
              <w:rPr>
                <w:rFonts w:ascii="Calibri" w:hAnsi="Calibri"/>
                <w:b/>
                <w:color w:val="003366"/>
                <w:sz w:val="19"/>
              </w:rPr>
              <w:t>GAHR-MSR</w:t>
            </w:r>
          </w:p>
        </w:tc>
        <w:tc>
          <w:tcPr>
            <w:tcW w:type="dxa" w:w="6768"/>
            <w:shd w:fill="F8FAFC"/>
            <w:tcMar>
              <w:top w:w="60" w:type="dxa"/>
              <w:bottom w:w="60" w:type="dxa"/>
              <w:left w:w="100" w:type="dxa"/>
              <w:right w:w="100" w:type="dxa"/>
            </w:tcMar>
          </w:tcPr>
          <w:p>
            <w:r>
              <w:rPr>
                <w:rFonts w:ascii="Calibri" w:hAnsi="Calibri"/>
                <w:color w:val="1E293B"/>
                <w:sz w:val="19"/>
              </w:rPr>
              <w:t>Graph-Agentic Hybrid RAG with Multi-Stage Re-ranking</w:t>
            </w:r>
          </w:p>
        </w:tc>
      </w:tr>
      <w:tr>
        <w:tc>
          <w:tcPr>
            <w:tcW w:type="dxa" w:w="2592"/>
            <w:shd w:fill="FFFFFF"/>
            <w:tcMar>
              <w:top w:w="60" w:type="dxa"/>
              <w:bottom w:w="60" w:type="dxa"/>
              <w:left w:w="100" w:type="dxa"/>
              <w:right w:w="100" w:type="dxa"/>
            </w:tcMar>
          </w:tcPr>
          <w:p>
            <w:r>
              <w:rPr>
                <w:rFonts w:ascii="Calibri" w:hAnsi="Calibri"/>
                <w:b/>
                <w:color w:val="003366"/>
                <w:sz w:val="19"/>
              </w:rPr>
              <w:t>GMI</w:t>
            </w:r>
          </w:p>
        </w:tc>
        <w:tc>
          <w:tcPr>
            <w:tcW w:type="dxa" w:w="6768"/>
            <w:shd w:fill="FFFFFF"/>
            <w:tcMar>
              <w:top w:w="60" w:type="dxa"/>
              <w:bottom w:w="60" w:type="dxa"/>
              <w:left w:w="100" w:type="dxa"/>
              <w:right w:w="100" w:type="dxa"/>
            </w:tcMar>
          </w:tcPr>
          <w:p>
            <w:r>
              <w:rPr>
                <w:rFonts w:ascii="Calibri" w:hAnsi="Calibri"/>
                <w:color w:val="1E293B"/>
                <w:sz w:val="19"/>
              </w:rPr>
              <w:t>Gross Margin Index (Beneish M-Score Parameter)</w:t>
            </w:r>
          </w:p>
        </w:tc>
      </w:tr>
      <w:tr>
        <w:tc>
          <w:tcPr>
            <w:tcW w:type="dxa" w:w="2592"/>
            <w:shd w:fill="F8FAFC"/>
            <w:tcMar>
              <w:top w:w="60" w:type="dxa"/>
              <w:bottom w:w="60" w:type="dxa"/>
              <w:left w:w="100" w:type="dxa"/>
              <w:right w:w="100" w:type="dxa"/>
            </w:tcMar>
          </w:tcPr>
          <w:p>
            <w:r>
              <w:rPr>
                <w:rFonts w:ascii="Calibri" w:hAnsi="Calibri"/>
                <w:b/>
                <w:color w:val="003366"/>
                <w:sz w:val="19"/>
              </w:rPr>
              <w:t>HITL</w:t>
            </w:r>
          </w:p>
        </w:tc>
        <w:tc>
          <w:tcPr>
            <w:tcW w:type="dxa" w:w="6768"/>
            <w:shd w:fill="F8FAFC"/>
            <w:tcMar>
              <w:top w:w="60" w:type="dxa"/>
              <w:bottom w:w="60" w:type="dxa"/>
              <w:left w:w="100" w:type="dxa"/>
              <w:right w:w="100" w:type="dxa"/>
            </w:tcMar>
          </w:tcPr>
          <w:p>
            <w:r>
              <w:rPr>
                <w:rFonts w:ascii="Calibri" w:hAnsi="Calibri"/>
                <w:color w:val="1E293B"/>
                <w:sz w:val="19"/>
              </w:rPr>
              <w:t>Human-in-the-Loop (Mandatory Manager Interruption Workflow)</w:t>
            </w:r>
          </w:p>
        </w:tc>
      </w:tr>
      <w:tr>
        <w:tc>
          <w:tcPr>
            <w:tcW w:type="dxa" w:w="2592"/>
            <w:shd w:fill="FFFFFF"/>
            <w:tcMar>
              <w:top w:w="60" w:type="dxa"/>
              <w:bottom w:w="60" w:type="dxa"/>
              <w:left w:w="100" w:type="dxa"/>
              <w:right w:w="100" w:type="dxa"/>
            </w:tcMar>
          </w:tcPr>
          <w:p>
            <w:r>
              <w:rPr>
                <w:rFonts w:ascii="Calibri" w:hAnsi="Calibri"/>
                <w:b/>
                <w:color w:val="003366"/>
                <w:sz w:val="19"/>
              </w:rPr>
              <w:t>ILAS</w:t>
            </w:r>
          </w:p>
        </w:tc>
        <w:tc>
          <w:tcPr>
            <w:tcW w:type="dxa" w:w="6768"/>
            <w:shd w:fill="FFFFFF"/>
            <w:tcMar>
              <w:top w:w="60" w:type="dxa"/>
              <w:bottom w:w="60" w:type="dxa"/>
              <w:left w:w="100" w:type="dxa"/>
              <w:right w:w="100" w:type="dxa"/>
            </w:tcMar>
          </w:tcPr>
          <w:p>
            <w:r>
              <w:rPr>
                <w:rFonts w:ascii="Calibri" w:hAnsi="Calibri"/>
                <w:color w:val="1E293B"/>
                <w:sz w:val="19"/>
              </w:rPr>
              <w:t>Intelligent Loan Appraisal System</w:t>
            </w:r>
          </w:p>
        </w:tc>
      </w:tr>
      <w:tr>
        <w:tc>
          <w:tcPr>
            <w:tcW w:type="dxa" w:w="2592"/>
            <w:shd w:fill="F8FAFC"/>
            <w:tcMar>
              <w:top w:w="60" w:type="dxa"/>
              <w:bottom w:w="60" w:type="dxa"/>
              <w:left w:w="100" w:type="dxa"/>
              <w:right w:w="100" w:type="dxa"/>
            </w:tcMar>
          </w:tcPr>
          <w:p>
            <w:r>
              <w:rPr>
                <w:rFonts w:ascii="Calibri" w:hAnsi="Calibri"/>
                <w:b/>
                <w:color w:val="003366"/>
                <w:sz w:val="19"/>
              </w:rPr>
              <w:t>IRB</w:t>
            </w:r>
          </w:p>
        </w:tc>
        <w:tc>
          <w:tcPr>
            <w:tcW w:type="dxa" w:w="6768"/>
            <w:shd w:fill="F8FAFC"/>
            <w:tcMar>
              <w:top w:w="60" w:type="dxa"/>
              <w:bottom w:w="60" w:type="dxa"/>
              <w:left w:w="100" w:type="dxa"/>
              <w:right w:w="100" w:type="dxa"/>
            </w:tcMar>
          </w:tcPr>
          <w:p>
            <w:r>
              <w:rPr>
                <w:rFonts w:ascii="Calibri" w:hAnsi="Calibri"/>
                <w:color w:val="1E293B"/>
                <w:sz w:val="19"/>
              </w:rPr>
              <w:t>Internal Ratings-Based Approach (Basel Capital Accord)</w:t>
            </w:r>
          </w:p>
        </w:tc>
      </w:tr>
      <w:tr>
        <w:tc>
          <w:tcPr>
            <w:tcW w:type="dxa" w:w="2592"/>
            <w:shd w:fill="FFFFFF"/>
            <w:tcMar>
              <w:top w:w="60" w:type="dxa"/>
              <w:bottom w:w="60" w:type="dxa"/>
              <w:left w:w="100" w:type="dxa"/>
              <w:right w:w="100" w:type="dxa"/>
            </w:tcMar>
          </w:tcPr>
          <w:p>
            <w:r>
              <w:rPr>
                <w:rFonts w:ascii="Calibri" w:hAnsi="Calibri"/>
                <w:b/>
                <w:color w:val="003366"/>
                <w:sz w:val="19"/>
              </w:rPr>
              <w:t>LTV</w:t>
            </w:r>
          </w:p>
        </w:tc>
        <w:tc>
          <w:tcPr>
            <w:tcW w:type="dxa" w:w="6768"/>
            <w:shd w:fill="FFFFFF"/>
            <w:tcMar>
              <w:top w:w="60" w:type="dxa"/>
              <w:bottom w:w="60" w:type="dxa"/>
              <w:left w:w="100" w:type="dxa"/>
              <w:right w:w="100" w:type="dxa"/>
            </w:tcMar>
          </w:tcPr>
          <w:p>
            <w:r>
              <w:rPr>
                <w:rFonts w:ascii="Calibri" w:hAnsi="Calibri"/>
                <w:color w:val="1E293B"/>
                <w:sz w:val="19"/>
              </w:rPr>
              <w:t>Loan-to-Value Ratio</w:t>
            </w:r>
          </w:p>
        </w:tc>
      </w:tr>
      <w:tr>
        <w:tc>
          <w:tcPr>
            <w:tcW w:type="dxa" w:w="2592"/>
            <w:shd w:fill="F8FAFC"/>
            <w:tcMar>
              <w:top w:w="60" w:type="dxa"/>
              <w:bottom w:w="60" w:type="dxa"/>
              <w:left w:w="100" w:type="dxa"/>
              <w:right w:w="100" w:type="dxa"/>
            </w:tcMar>
          </w:tcPr>
          <w:p>
            <w:r>
              <w:rPr>
                <w:rFonts w:ascii="Calibri" w:hAnsi="Calibri"/>
                <w:b/>
                <w:color w:val="003366"/>
                <w:sz w:val="19"/>
              </w:rPr>
              <w:t>MPBF</w:t>
            </w:r>
          </w:p>
        </w:tc>
        <w:tc>
          <w:tcPr>
            <w:tcW w:type="dxa" w:w="6768"/>
            <w:shd w:fill="F8FAFC"/>
            <w:tcMar>
              <w:top w:w="60" w:type="dxa"/>
              <w:bottom w:w="60" w:type="dxa"/>
              <w:left w:w="100" w:type="dxa"/>
              <w:right w:w="100" w:type="dxa"/>
            </w:tcMar>
          </w:tcPr>
          <w:p>
            <w:r>
              <w:rPr>
                <w:rFonts w:ascii="Calibri" w:hAnsi="Calibri"/>
                <w:color w:val="1E293B"/>
                <w:sz w:val="19"/>
              </w:rPr>
              <w:t>Maximum Permissible Bank Finance (Tandon / Nayak Models)</w:t>
            </w:r>
          </w:p>
        </w:tc>
      </w:tr>
      <w:tr>
        <w:tc>
          <w:tcPr>
            <w:tcW w:type="dxa" w:w="2592"/>
            <w:shd w:fill="FFFFFF"/>
            <w:tcMar>
              <w:top w:w="60" w:type="dxa"/>
              <w:bottom w:w="60" w:type="dxa"/>
              <w:left w:w="100" w:type="dxa"/>
              <w:right w:w="100" w:type="dxa"/>
            </w:tcMar>
          </w:tcPr>
          <w:p>
            <w:r>
              <w:rPr>
                <w:rFonts w:ascii="Calibri" w:hAnsi="Calibri"/>
                <w:b/>
                <w:color w:val="003366"/>
                <w:sz w:val="19"/>
              </w:rPr>
              <w:t>MSE / MSME</w:t>
            </w:r>
          </w:p>
        </w:tc>
        <w:tc>
          <w:tcPr>
            <w:tcW w:type="dxa" w:w="6768"/>
            <w:shd w:fill="FFFFFF"/>
            <w:tcMar>
              <w:top w:w="60" w:type="dxa"/>
              <w:bottom w:w="60" w:type="dxa"/>
              <w:left w:w="100" w:type="dxa"/>
              <w:right w:w="100" w:type="dxa"/>
            </w:tcMar>
          </w:tcPr>
          <w:p>
            <w:r>
              <w:rPr>
                <w:rFonts w:ascii="Calibri" w:hAnsi="Calibri"/>
                <w:color w:val="1E293B"/>
                <w:sz w:val="19"/>
              </w:rPr>
              <w:t>Micro, Small, and Medium Enterprises</w:t>
            </w:r>
          </w:p>
        </w:tc>
      </w:tr>
      <w:tr>
        <w:tc>
          <w:tcPr>
            <w:tcW w:type="dxa" w:w="2592"/>
            <w:shd w:fill="F8FAFC"/>
            <w:tcMar>
              <w:top w:w="60" w:type="dxa"/>
              <w:bottom w:w="60" w:type="dxa"/>
              <w:left w:w="100" w:type="dxa"/>
              <w:right w:w="100" w:type="dxa"/>
            </w:tcMar>
          </w:tcPr>
          <w:p>
            <w:r>
              <w:rPr>
                <w:rFonts w:ascii="Calibri" w:hAnsi="Calibri"/>
                <w:b/>
                <w:color w:val="003366"/>
                <w:sz w:val="19"/>
              </w:rPr>
              <w:t>OCR</w:t>
            </w:r>
          </w:p>
        </w:tc>
        <w:tc>
          <w:tcPr>
            <w:tcW w:type="dxa" w:w="6768"/>
            <w:shd w:fill="F8FAFC"/>
            <w:tcMar>
              <w:top w:w="60" w:type="dxa"/>
              <w:bottom w:w="60" w:type="dxa"/>
              <w:left w:w="100" w:type="dxa"/>
              <w:right w:w="100" w:type="dxa"/>
            </w:tcMar>
          </w:tcPr>
          <w:p>
            <w:r>
              <w:rPr>
                <w:rFonts w:ascii="Calibri" w:hAnsi="Calibri"/>
                <w:color w:val="1E293B"/>
                <w:sz w:val="19"/>
              </w:rPr>
              <w:t>Optical Character Recognition (EasyOCR Deep Learning)</w:t>
            </w:r>
          </w:p>
        </w:tc>
      </w:tr>
      <w:tr>
        <w:tc>
          <w:tcPr>
            <w:tcW w:type="dxa" w:w="2592"/>
            <w:shd w:fill="FFFFFF"/>
            <w:tcMar>
              <w:top w:w="60" w:type="dxa"/>
              <w:bottom w:w="60" w:type="dxa"/>
              <w:left w:w="100" w:type="dxa"/>
              <w:right w:w="100" w:type="dxa"/>
            </w:tcMar>
          </w:tcPr>
          <w:p>
            <w:r>
              <w:rPr>
                <w:rFonts w:ascii="Calibri" w:hAnsi="Calibri"/>
                <w:b/>
                <w:color w:val="003366"/>
                <w:sz w:val="19"/>
              </w:rPr>
              <w:t>PAT</w:t>
            </w:r>
          </w:p>
        </w:tc>
        <w:tc>
          <w:tcPr>
            <w:tcW w:type="dxa" w:w="6768"/>
            <w:shd w:fill="FFFFFF"/>
            <w:tcMar>
              <w:top w:w="60" w:type="dxa"/>
              <w:bottom w:w="60" w:type="dxa"/>
              <w:left w:w="100" w:type="dxa"/>
              <w:right w:w="100" w:type="dxa"/>
            </w:tcMar>
          </w:tcPr>
          <w:p>
            <w:r>
              <w:rPr>
                <w:rFonts w:ascii="Calibri" w:hAnsi="Calibri"/>
                <w:color w:val="1E293B"/>
                <w:sz w:val="19"/>
              </w:rPr>
              <w:t>Profit After Tax</w:t>
            </w:r>
          </w:p>
        </w:tc>
      </w:tr>
      <w:tr>
        <w:tc>
          <w:tcPr>
            <w:tcW w:type="dxa" w:w="2592"/>
            <w:shd w:fill="F8FAFC"/>
            <w:tcMar>
              <w:top w:w="60" w:type="dxa"/>
              <w:bottom w:w="60" w:type="dxa"/>
              <w:left w:w="100" w:type="dxa"/>
              <w:right w:w="100" w:type="dxa"/>
            </w:tcMar>
          </w:tcPr>
          <w:p>
            <w:r>
              <w:rPr>
                <w:rFonts w:ascii="Calibri" w:hAnsi="Calibri"/>
                <w:b/>
                <w:color w:val="003366"/>
                <w:sz w:val="19"/>
              </w:rPr>
              <w:t>PD</w:t>
            </w:r>
          </w:p>
        </w:tc>
        <w:tc>
          <w:tcPr>
            <w:tcW w:type="dxa" w:w="6768"/>
            <w:shd w:fill="F8FAFC"/>
            <w:tcMar>
              <w:top w:w="60" w:type="dxa"/>
              <w:bottom w:w="60" w:type="dxa"/>
              <w:left w:w="100" w:type="dxa"/>
              <w:right w:w="100" w:type="dxa"/>
            </w:tcMar>
          </w:tcPr>
          <w:p>
            <w:r>
              <w:rPr>
                <w:rFonts w:ascii="Calibri" w:hAnsi="Calibri"/>
                <w:color w:val="1E293B"/>
                <w:sz w:val="19"/>
              </w:rPr>
              <w:t>Probability of Default (%)</w:t>
            </w:r>
          </w:p>
        </w:tc>
      </w:tr>
      <w:tr>
        <w:tc>
          <w:tcPr>
            <w:tcW w:type="dxa" w:w="2592"/>
            <w:shd w:fill="FFFFFF"/>
            <w:tcMar>
              <w:top w:w="60" w:type="dxa"/>
              <w:bottom w:w="60" w:type="dxa"/>
              <w:left w:w="100" w:type="dxa"/>
              <w:right w:w="100" w:type="dxa"/>
            </w:tcMar>
          </w:tcPr>
          <w:p>
            <w:r>
              <w:rPr>
                <w:rFonts w:ascii="Calibri" w:hAnsi="Calibri"/>
                <w:b/>
                <w:color w:val="003366"/>
                <w:sz w:val="19"/>
              </w:rPr>
              <w:t>PII</w:t>
            </w:r>
          </w:p>
        </w:tc>
        <w:tc>
          <w:tcPr>
            <w:tcW w:type="dxa" w:w="6768"/>
            <w:shd w:fill="FFFFFF"/>
            <w:tcMar>
              <w:top w:w="60" w:type="dxa"/>
              <w:bottom w:w="60" w:type="dxa"/>
              <w:left w:w="100" w:type="dxa"/>
              <w:right w:w="100" w:type="dxa"/>
            </w:tcMar>
          </w:tcPr>
          <w:p>
            <w:r>
              <w:rPr>
                <w:rFonts w:ascii="Calibri" w:hAnsi="Calibri"/>
                <w:color w:val="1E293B"/>
                <w:sz w:val="19"/>
              </w:rPr>
              <w:t>Personally Identifiable Information</w:t>
            </w:r>
          </w:p>
        </w:tc>
      </w:tr>
      <w:tr>
        <w:tc>
          <w:tcPr>
            <w:tcW w:type="dxa" w:w="2592"/>
            <w:shd w:fill="F8FAFC"/>
            <w:tcMar>
              <w:top w:w="60" w:type="dxa"/>
              <w:bottom w:w="60" w:type="dxa"/>
              <w:left w:w="100" w:type="dxa"/>
              <w:right w:w="100" w:type="dxa"/>
            </w:tcMar>
          </w:tcPr>
          <w:p>
            <w:r>
              <w:rPr>
                <w:rFonts w:ascii="Calibri" w:hAnsi="Calibri"/>
                <w:b/>
                <w:color w:val="003366"/>
                <w:sz w:val="19"/>
              </w:rPr>
              <w:t>RAG</w:t>
            </w:r>
          </w:p>
        </w:tc>
        <w:tc>
          <w:tcPr>
            <w:tcW w:type="dxa" w:w="6768"/>
            <w:shd w:fill="F8FAFC"/>
            <w:tcMar>
              <w:top w:w="60" w:type="dxa"/>
              <w:bottom w:w="60" w:type="dxa"/>
              <w:left w:w="100" w:type="dxa"/>
              <w:right w:w="100" w:type="dxa"/>
            </w:tcMar>
          </w:tcPr>
          <w:p>
            <w:r>
              <w:rPr>
                <w:rFonts w:ascii="Calibri" w:hAnsi="Calibri"/>
                <w:color w:val="1E293B"/>
                <w:sz w:val="19"/>
              </w:rPr>
              <w:t>Retrieval-Augmented Generation</w:t>
            </w:r>
          </w:p>
        </w:tc>
      </w:tr>
      <w:tr>
        <w:tc>
          <w:tcPr>
            <w:tcW w:type="dxa" w:w="2592"/>
            <w:shd w:fill="FFFFFF"/>
            <w:tcMar>
              <w:top w:w="60" w:type="dxa"/>
              <w:bottom w:w="60" w:type="dxa"/>
              <w:left w:w="100" w:type="dxa"/>
              <w:right w:w="100" w:type="dxa"/>
            </w:tcMar>
          </w:tcPr>
          <w:p>
            <w:r>
              <w:rPr>
                <w:rFonts w:ascii="Calibri" w:hAnsi="Calibri"/>
                <w:b/>
                <w:color w:val="003366"/>
                <w:sz w:val="19"/>
              </w:rPr>
              <w:t>RBI</w:t>
            </w:r>
          </w:p>
        </w:tc>
        <w:tc>
          <w:tcPr>
            <w:tcW w:type="dxa" w:w="6768"/>
            <w:shd w:fill="FFFFFF"/>
            <w:tcMar>
              <w:top w:w="60" w:type="dxa"/>
              <w:bottom w:w="60" w:type="dxa"/>
              <w:left w:w="100" w:type="dxa"/>
              <w:right w:w="100" w:type="dxa"/>
            </w:tcMar>
          </w:tcPr>
          <w:p>
            <w:r>
              <w:rPr>
                <w:rFonts w:ascii="Calibri" w:hAnsi="Calibri"/>
                <w:color w:val="1E293B"/>
                <w:sz w:val="19"/>
              </w:rPr>
              <w:t>Reserve Bank of India</w:t>
            </w:r>
          </w:p>
        </w:tc>
      </w:tr>
      <w:tr>
        <w:tc>
          <w:tcPr>
            <w:tcW w:type="dxa" w:w="2592"/>
            <w:shd w:fill="F8FAFC"/>
            <w:tcMar>
              <w:top w:w="60" w:type="dxa"/>
              <w:bottom w:w="60" w:type="dxa"/>
              <w:left w:w="100" w:type="dxa"/>
              <w:right w:w="100" w:type="dxa"/>
            </w:tcMar>
          </w:tcPr>
          <w:p>
            <w:r>
              <w:rPr>
                <w:rFonts w:ascii="Calibri" w:hAnsi="Calibri"/>
                <w:b/>
                <w:color w:val="003366"/>
                <w:sz w:val="19"/>
              </w:rPr>
              <w:t>RBLR</w:t>
            </w:r>
          </w:p>
        </w:tc>
        <w:tc>
          <w:tcPr>
            <w:tcW w:type="dxa" w:w="6768"/>
            <w:shd w:fill="F8FAFC"/>
            <w:tcMar>
              <w:top w:w="60" w:type="dxa"/>
              <w:bottom w:w="60" w:type="dxa"/>
              <w:left w:w="100" w:type="dxa"/>
              <w:right w:w="100" w:type="dxa"/>
            </w:tcMar>
          </w:tcPr>
          <w:p>
            <w:r>
              <w:rPr>
                <w:rFonts w:ascii="Calibri" w:hAnsi="Calibri"/>
                <w:color w:val="1E293B"/>
                <w:sz w:val="19"/>
              </w:rPr>
              <w:t>Repo-Based Lending Rate (External Benchmark Lending Rate)</w:t>
            </w:r>
          </w:p>
        </w:tc>
      </w:tr>
      <w:tr>
        <w:tc>
          <w:tcPr>
            <w:tcW w:type="dxa" w:w="2592"/>
            <w:shd w:fill="FFFFFF"/>
            <w:tcMar>
              <w:top w:w="60" w:type="dxa"/>
              <w:bottom w:w="60" w:type="dxa"/>
              <w:left w:w="100" w:type="dxa"/>
              <w:right w:w="100" w:type="dxa"/>
            </w:tcMar>
          </w:tcPr>
          <w:p>
            <w:r>
              <w:rPr>
                <w:rFonts w:ascii="Calibri" w:hAnsi="Calibri"/>
                <w:b/>
                <w:color w:val="003366"/>
                <w:sz w:val="19"/>
              </w:rPr>
              <w:t>ROC-AUC</w:t>
            </w:r>
          </w:p>
        </w:tc>
        <w:tc>
          <w:tcPr>
            <w:tcW w:type="dxa" w:w="6768"/>
            <w:shd w:fill="FFFFFF"/>
            <w:tcMar>
              <w:top w:w="60" w:type="dxa"/>
              <w:bottom w:w="60" w:type="dxa"/>
              <w:left w:w="100" w:type="dxa"/>
              <w:right w:w="100" w:type="dxa"/>
            </w:tcMar>
          </w:tcPr>
          <w:p>
            <w:r>
              <w:rPr>
                <w:rFonts w:ascii="Calibri" w:hAnsi="Calibri"/>
                <w:color w:val="1E293B"/>
                <w:sz w:val="19"/>
              </w:rPr>
              <w:t>Receiver Operating Characteristic - Area Under Curve</w:t>
            </w:r>
          </w:p>
        </w:tc>
      </w:tr>
      <w:tr>
        <w:tc>
          <w:tcPr>
            <w:tcW w:type="dxa" w:w="2592"/>
            <w:shd w:fill="F8FAFC"/>
            <w:tcMar>
              <w:top w:w="60" w:type="dxa"/>
              <w:bottom w:w="60" w:type="dxa"/>
              <w:left w:w="100" w:type="dxa"/>
              <w:right w:w="100" w:type="dxa"/>
            </w:tcMar>
          </w:tcPr>
          <w:p>
            <w:r>
              <w:rPr>
                <w:rFonts w:ascii="Calibri" w:hAnsi="Calibri"/>
                <w:b/>
                <w:color w:val="003366"/>
                <w:sz w:val="19"/>
              </w:rPr>
              <w:t>SGI</w:t>
            </w:r>
          </w:p>
        </w:tc>
        <w:tc>
          <w:tcPr>
            <w:tcW w:type="dxa" w:w="6768"/>
            <w:shd w:fill="F8FAFC"/>
            <w:tcMar>
              <w:top w:w="60" w:type="dxa"/>
              <w:bottom w:w="60" w:type="dxa"/>
              <w:left w:w="100" w:type="dxa"/>
              <w:right w:w="100" w:type="dxa"/>
            </w:tcMar>
          </w:tcPr>
          <w:p>
            <w:r>
              <w:rPr>
                <w:rFonts w:ascii="Calibri" w:hAnsi="Calibri"/>
                <w:color w:val="1E293B"/>
                <w:sz w:val="19"/>
              </w:rPr>
              <w:t>Sales Growth Index (Beneish M-Score Parameter)</w:t>
            </w:r>
          </w:p>
        </w:tc>
      </w:tr>
      <w:tr>
        <w:tc>
          <w:tcPr>
            <w:tcW w:type="dxa" w:w="2592"/>
            <w:shd w:fill="FFFFFF"/>
            <w:tcMar>
              <w:top w:w="60" w:type="dxa"/>
              <w:bottom w:w="60" w:type="dxa"/>
              <w:left w:w="100" w:type="dxa"/>
              <w:right w:w="100" w:type="dxa"/>
            </w:tcMar>
          </w:tcPr>
          <w:p>
            <w:r>
              <w:rPr>
                <w:rFonts w:ascii="Calibri" w:hAnsi="Calibri"/>
                <w:b/>
                <w:color w:val="003366"/>
                <w:sz w:val="19"/>
              </w:rPr>
              <w:t>SHAP</w:t>
            </w:r>
          </w:p>
        </w:tc>
        <w:tc>
          <w:tcPr>
            <w:tcW w:type="dxa" w:w="6768"/>
            <w:shd w:fill="FFFFFF"/>
            <w:tcMar>
              <w:top w:w="60" w:type="dxa"/>
              <w:bottom w:w="60" w:type="dxa"/>
              <w:left w:w="100" w:type="dxa"/>
              <w:right w:w="100" w:type="dxa"/>
            </w:tcMar>
          </w:tcPr>
          <w:p>
            <w:r>
              <w:rPr>
                <w:rFonts w:ascii="Calibri" w:hAnsi="Calibri"/>
                <w:color w:val="1E293B"/>
                <w:sz w:val="19"/>
              </w:rPr>
              <w:t>Shapley Additive exPlanations (Explainable AI)</w:t>
            </w:r>
          </w:p>
        </w:tc>
      </w:tr>
      <w:tr>
        <w:tc>
          <w:tcPr>
            <w:tcW w:type="dxa" w:w="2592"/>
            <w:shd w:fill="F8FAFC"/>
            <w:tcMar>
              <w:top w:w="60" w:type="dxa"/>
              <w:bottom w:w="60" w:type="dxa"/>
              <w:left w:w="100" w:type="dxa"/>
              <w:right w:w="100" w:type="dxa"/>
            </w:tcMar>
          </w:tcPr>
          <w:p>
            <w:r>
              <w:rPr>
                <w:rFonts w:ascii="Calibri" w:hAnsi="Calibri"/>
                <w:b/>
                <w:color w:val="003366"/>
                <w:sz w:val="19"/>
              </w:rPr>
              <w:t>TATA</w:t>
            </w:r>
          </w:p>
        </w:tc>
        <w:tc>
          <w:tcPr>
            <w:tcW w:type="dxa" w:w="6768"/>
            <w:shd w:fill="F8FAFC"/>
            <w:tcMar>
              <w:top w:w="60" w:type="dxa"/>
              <w:bottom w:w="60" w:type="dxa"/>
              <w:left w:w="100" w:type="dxa"/>
              <w:right w:w="100" w:type="dxa"/>
            </w:tcMar>
          </w:tcPr>
          <w:p>
            <w:r>
              <w:rPr>
                <w:rFonts w:ascii="Calibri" w:hAnsi="Calibri"/>
                <w:color w:val="1E293B"/>
                <w:sz w:val="19"/>
              </w:rPr>
              <w:t>Total Accruals to Total Assets (Beneish M-Score Parameter)</w:t>
            </w:r>
          </w:p>
        </w:tc>
      </w:tr>
      <w:tr>
        <w:tc>
          <w:tcPr>
            <w:tcW w:type="dxa" w:w="2592"/>
            <w:shd w:fill="FFFFFF"/>
            <w:tcMar>
              <w:top w:w="60" w:type="dxa"/>
              <w:bottom w:w="60" w:type="dxa"/>
              <w:left w:w="100" w:type="dxa"/>
              <w:right w:w="100" w:type="dxa"/>
            </w:tcMar>
          </w:tcPr>
          <w:p>
            <w:r>
              <w:rPr>
                <w:rFonts w:ascii="Calibri" w:hAnsi="Calibri"/>
                <w:b/>
                <w:color w:val="003366"/>
                <w:sz w:val="19"/>
              </w:rPr>
              <w:t>TAT</w:t>
            </w:r>
          </w:p>
        </w:tc>
        <w:tc>
          <w:tcPr>
            <w:tcW w:type="dxa" w:w="6768"/>
            <w:shd w:fill="FFFFFF"/>
            <w:tcMar>
              <w:top w:w="60" w:type="dxa"/>
              <w:bottom w:w="60" w:type="dxa"/>
              <w:left w:w="100" w:type="dxa"/>
              <w:right w:w="100" w:type="dxa"/>
            </w:tcMar>
          </w:tcPr>
          <w:p>
            <w:r>
              <w:rPr>
                <w:rFonts w:ascii="Calibri" w:hAnsi="Calibri"/>
                <w:color w:val="1E293B"/>
                <w:sz w:val="19"/>
              </w:rPr>
              <w:t>Turnaround Time</w:t>
            </w:r>
          </w:p>
        </w:tc>
      </w:tr>
      <w:tr>
        <w:tc>
          <w:tcPr>
            <w:tcW w:type="dxa" w:w="2592"/>
            <w:shd w:fill="F8FAFC"/>
            <w:tcMar>
              <w:top w:w="60" w:type="dxa"/>
              <w:bottom w:w="60" w:type="dxa"/>
              <w:left w:w="100" w:type="dxa"/>
              <w:right w:w="100" w:type="dxa"/>
            </w:tcMar>
          </w:tcPr>
          <w:p>
            <w:r>
              <w:rPr>
                <w:rFonts w:ascii="Calibri" w:hAnsi="Calibri"/>
                <w:b/>
                <w:color w:val="003366"/>
                <w:sz w:val="19"/>
              </w:rPr>
              <w:t>TNW</w:t>
            </w:r>
          </w:p>
        </w:tc>
        <w:tc>
          <w:tcPr>
            <w:tcW w:type="dxa" w:w="6768"/>
            <w:shd w:fill="F8FAFC"/>
            <w:tcMar>
              <w:top w:w="60" w:type="dxa"/>
              <w:bottom w:w="60" w:type="dxa"/>
              <w:left w:w="100" w:type="dxa"/>
              <w:right w:w="100" w:type="dxa"/>
            </w:tcMar>
          </w:tcPr>
          <w:p>
            <w:r>
              <w:rPr>
                <w:rFonts w:ascii="Calibri" w:hAnsi="Calibri"/>
                <w:color w:val="1E293B"/>
                <w:sz w:val="19"/>
              </w:rPr>
              <w:t>Tangible Net Worth</w:t>
            </w:r>
          </w:p>
        </w:tc>
      </w:tr>
      <w:tr>
        <w:tc>
          <w:tcPr>
            <w:tcW w:type="dxa" w:w="2592"/>
            <w:shd w:fill="FFFFFF"/>
            <w:tcMar>
              <w:top w:w="60" w:type="dxa"/>
              <w:bottom w:w="60" w:type="dxa"/>
              <w:left w:w="100" w:type="dxa"/>
              <w:right w:w="100" w:type="dxa"/>
            </w:tcMar>
          </w:tcPr>
          <w:p>
            <w:r>
              <w:rPr>
                <w:rFonts w:ascii="Calibri" w:hAnsi="Calibri"/>
                <w:b/>
                <w:color w:val="003366"/>
                <w:sz w:val="19"/>
              </w:rPr>
              <w:t>TOL</w:t>
            </w:r>
          </w:p>
        </w:tc>
        <w:tc>
          <w:tcPr>
            <w:tcW w:type="dxa" w:w="6768"/>
            <w:shd w:fill="FFFFFF"/>
            <w:tcMar>
              <w:top w:w="60" w:type="dxa"/>
              <w:bottom w:w="60" w:type="dxa"/>
              <w:left w:w="100" w:type="dxa"/>
              <w:right w:w="100" w:type="dxa"/>
            </w:tcMar>
          </w:tcPr>
          <w:p>
            <w:r>
              <w:rPr>
                <w:rFonts w:ascii="Calibri" w:hAnsi="Calibri"/>
                <w:color w:val="1E293B"/>
                <w:sz w:val="19"/>
              </w:rPr>
              <w:t>Total Outside Liabilities</w:t>
            </w:r>
          </w:p>
        </w:tc>
      </w:tr>
      <w:tr>
        <w:tc>
          <w:tcPr>
            <w:tcW w:type="dxa" w:w="2592"/>
            <w:shd w:fill="F8FAFC"/>
            <w:tcMar>
              <w:top w:w="60" w:type="dxa"/>
              <w:bottom w:w="60" w:type="dxa"/>
              <w:left w:w="100" w:type="dxa"/>
              <w:right w:w="100" w:type="dxa"/>
            </w:tcMar>
          </w:tcPr>
          <w:p>
            <w:r>
              <w:rPr>
                <w:rFonts w:ascii="Calibri" w:hAnsi="Calibri"/>
                <w:b/>
                <w:color w:val="003366"/>
                <w:sz w:val="19"/>
              </w:rPr>
              <w:t>XGBoost</w:t>
            </w:r>
          </w:p>
        </w:tc>
        <w:tc>
          <w:tcPr>
            <w:tcW w:type="dxa" w:w="6768"/>
            <w:shd w:fill="F8FAFC"/>
            <w:tcMar>
              <w:top w:w="60" w:type="dxa"/>
              <w:bottom w:w="60" w:type="dxa"/>
              <w:left w:w="100" w:type="dxa"/>
              <w:right w:w="100" w:type="dxa"/>
            </w:tcMar>
          </w:tcPr>
          <w:p>
            <w:r>
              <w:rPr>
                <w:rFonts w:ascii="Calibri" w:hAnsi="Calibri"/>
                <w:color w:val="1E293B"/>
                <w:sz w:val="19"/>
              </w:rPr>
              <w:t>Extreme Gradient Boosting Machine Learning Algorithm</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