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i w:val="0"/>
          <w:color w:val="003366"/>
          <w:sz w:val="34"/>
        </w:rPr>
        <w:t>🏛️ CENTRAL BANK OF INDIA</w:t>
      </w:r>
    </w:p>
    <w:p>
      <w:pPr>
        <w:spacing w:before="240" w:after="80"/>
        <w:jc w:val="center"/>
      </w:pPr>
      <w:r>
        <w:rPr>
          <w:rFonts w:ascii="Calibri" w:hAnsi="Calibri"/>
          <w:b/>
          <w:i w:val="0"/>
          <w:color w:val="003366"/>
          <w:sz w:val="27"/>
        </w:rPr>
        <w:t>REGIONAL OFFICE, VISAKHAPATNAM | ANDHRA PRADESH</w:t>
      </w:r>
    </w:p>
    <w:p>
      <w:pPr>
        <w:spacing w:before="200" w:after="60"/>
        <w:jc w:val="center"/>
      </w:pPr>
      <w:r>
        <w:rPr>
          <w:rFonts w:ascii="Calibri" w:hAnsi="Calibri"/>
          <w:b/>
          <w:i w:val="0"/>
          <w:color w:val="003366"/>
          <w:sz w:val="24"/>
        </w:rPr>
        <w:t>RISK MANAGEMENT &amp; CREDIT APPRAISAL DIVISIONS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pPr>
        <w:spacing w:before="280" w:after="120"/>
        <w:jc w:val="center"/>
      </w:pPr>
      <w:r>
        <w:rPr>
          <w:rFonts w:ascii="Calibri" w:hAnsi="Calibri"/>
          <w:b/>
          <w:i w:val="0"/>
          <w:color w:val="003366"/>
          <w:sz w:val="34"/>
        </w:rPr>
        <w:t>📖 CHAPTER 1</w:t>
      </w:r>
    </w:p>
    <w:p>
      <w:pPr>
        <w:spacing w:before="280" w:after="120"/>
      </w:pPr>
      <w:r>
        <w:rPr>
          <w:rFonts w:ascii="Calibri" w:hAnsi="Calibri"/>
          <w:b/>
          <w:i w:val="0"/>
          <w:color w:val="003366"/>
          <w:sz w:val="34"/>
        </w:rPr>
        <w:t>INTRODUCTION &amp; INSTITUTIONAL BACKGROUND</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w:t>
              <w:br/>
              <w:t xml:space="preserve">                                 CHAPTER ROADMAP &amp; METRICS</w:t>
              <w:br/>
              <w:t>========================================================================================</w:t>
              <w:br/>
              <w:t xml:space="preserve">  1.1 The Indian Commercial Banking Ecosystem &amp; Underwriting Challenges</w:t>
              <w:br/>
              <w:t xml:space="preserve">  1.2 Central Bank of India: Institutional Heritage &amp; Digital Strategy</w:t>
              <w:br/>
              <w:t xml:space="preserve">  1.3 Problem Statement &amp; Turnaround Time (TAT) Friction</w:t>
              <w:br/>
              <w:t xml:space="preserve">  1.4 Objectives and Scope of the Intelligent Loan Appraisal System (ILAS)</w:t>
              <w:br/>
              <w:t xml:space="preserve">  1.5 Novelty and Institutional Value Proposition</w:t>
              <w:br/>
              <w:t xml:space="preserve">  1.6 Report Organization &amp; Chapter Roadmap</w:t>
              <w:br/>
              <w: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r>
        <w:br w:type="page"/>
      </w:r>
    </w:p>
    <w:p>
      <w:pPr>
        <w:spacing w:before="280" w:after="120"/>
        <w:jc w:val="center"/>
      </w:pPr>
      <w:r>
        <w:rPr>
          <w:rFonts w:ascii="Calibri" w:hAnsi="Calibri"/>
          <w:b/>
          <w:i w:val="0"/>
          <w:color w:val="003366"/>
          <w:sz w:val="34"/>
        </w:rPr>
        <w:t>CHAPTER 1: INTRODUCTION &amp; INSTITUTIONAL BACKGROUND</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pPr>
        <w:spacing w:before="240" w:after="80"/>
      </w:pPr>
      <w:r>
        <w:rPr>
          <w:rFonts w:ascii="Calibri" w:hAnsi="Calibri"/>
          <w:b/>
          <w:i w:val="0"/>
          <w:color w:val="003366"/>
          <w:sz w:val="27"/>
        </w:rPr>
        <w:t>1.1 🏦 The Indian Commercial Banking Ecosystem &amp; Underwriting Challenges</w:t>
      </w:r>
    </w:p>
    <w:p>
      <w:pPr>
        <w:spacing w:before="40" w:after="100"/>
      </w:pPr>
      <w:r>
        <w:rPr>
          <w:rFonts w:ascii="Calibri" w:hAnsi="Calibri"/>
          <w:b w:val="0"/>
          <w:i w:val="0"/>
          <w:color w:val="1E293B"/>
          <w:sz w:val="21"/>
        </w:rPr>
        <w:t xml:space="preserve">The commercial banking system in India represents the foundational circulatory system of the national economy, mobilizing domestic savings and channeling capital into productive economic sectors. Public Sector Banks (PSBs) and Scheduled Commercial Banks (SCBs) manage an aggregate domestic credit portfolio exceeding ₹170 Lakh Crores (as of FY 2025–2026), supporting diverse economic agents ranging from individual retail consumers to capital-intensive Micro, Small, and Medium Enterprises (MSMEs). </w:t>
      </w:r>
    </w:p>
    <w:p>
      <w:pPr>
        <w:spacing w:before="40" w:after="100"/>
      </w:pPr>
      <w:r>
        <w:rPr>
          <w:rFonts w:ascii="Calibri" w:hAnsi="Calibri"/>
          <w:b w:val="0"/>
          <w:i w:val="0"/>
          <w:color w:val="1E293B"/>
          <w:sz w:val="21"/>
        </w:rPr>
        <w:t>Credit appraisal—the systematic evaluation of a borrower's creditworthiness, financial solvency, debt-servicing capacity, collateral sufficiency, and default probability—constitutes the core operational capability that dictates a commercial bank's asset quality, Net Interest Margin (NIM), and Capital to Risk-Weighted Assets Ratio (CRAR).</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 xml:space="preserve">                      TRADITIONAL CREDIT UNDERWRITING INFORMATION BOTTLENECK</w:t>
              <w:br/>
              <w:t xml:space="preserve">                      </w:t>
              <w:br/>
              <w:t xml:space="preserve">   ┌───────────────────────┐       ┌────────────────────────┐       ┌───────────────────────┐</w:t>
              <w:br/>
              <w:t xml:space="preserve">   │ Heterogeneous Formats │       │ Manual Interpretation  │       │ Multi-Tier Committee  │</w:t>
              <w:br/>
              <w:t xml:space="preserve">   │  - Audited P&amp;L / B/S  │  ──►  │  - Manual Spreadsheet  │  ──►  │  - 7 to 14 Day TAT    │</w:t>
              <w:br/>
              <w:t xml:space="preserve">   │  - Scanned Tax Forms  │       │  - Policy Verification │       │  - Subjective Bias    │</w:t>
              <w:br/>
              <w:t xml:space="preserve">   │  - Unstructured PDFs  │       │  - Ratio Calculations  │       │  - Regulatory Friction│</w:t>
              <w:br/>
              <w:t xml:space="preserve">   └───────────────────────┘       └────────────────────────┘       └───────────────────────┘</w:t>
            </w:r>
          </w:p>
        </w:tc>
      </w:tr>
    </w:tbl>
    <w:p>
      <w:pPr>
        <w:spacing w:before="0" w:after="120"/>
      </w:pPr>
    </w:p>
    <w:p>
      <w:pPr>
        <w:spacing w:before="40" w:after="100"/>
      </w:pPr>
      <w:r>
        <w:rPr>
          <w:rFonts w:ascii="Calibri" w:hAnsi="Calibri"/>
          <w:b w:val="0"/>
          <w:i w:val="0"/>
          <w:color w:val="1E293B"/>
          <w:sz w:val="21"/>
        </w:rPr>
        <w:t>Despite extensive modernization in front-end payments (such as Unified Payments Interface - UPI) and core banking infrastructure (CBS), the core credit underwriting workflow across commercial banks in India remains encumbered by severe operational friction:</w:t>
      </w:r>
    </w:p>
    <w:p>
      <w:pPr>
        <w:spacing w:before="40" w:after="100"/>
      </w:pPr>
      <w:r>
        <w:rPr>
          <w:rFonts w:ascii="Calibri" w:hAnsi="Calibri"/>
          <w:b w:val="0"/>
          <w:i w:val="0"/>
          <w:color w:val="1E293B"/>
          <w:sz w:val="21"/>
        </w:rPr>
        <w:t xml:space="preserve">1. </w:t>
      </w:r>
      <w:r>
        <w:rPr>
          <w:rFonts w:ascii="Calibri" w:hAnsi="Calibri"/>
          <w:b/>
          <w:i w:val="0"/>
          <w:color w:val="1E293B"/>
          <w:sz w:val="21"/>
        </w:rPr>
        <w:t>Information Asymmetry &amp; Data Heterogeneity</w:t>
      </w:r>
      <w:r>
        <w:rPr>
          <w:rFonts w:ascii="Calibri" w:hAnsi="Calibri"/>
          <w:b w:val="0"/>
          <w:i w:val="0"/>
          <w:color w:val="1E293B"/>
          <w:sz w:val="21"/>
        </w:rPr>
        <w:t>:</w:t>
      </w:r>
    </w:p>
    <w:p>
      <w:pPr>
        <w:spacing w:before="40" w:after="100"/>
      </w:pPr>
      <w:r>
        <w:rPr>
          <w:rFonts w:ascii="Calibri" w:hAnsi="Calibri"/>
          <w:b w:val="0"/>
          <w:i w:val="0"/>
          <w:color w:val="1E293B"/>
          <w:sz w:val="21"/>
        </w:rPr>
        <w:t xml:space="preserve">   Credit underwriting requires assimilating multi-format documentation, including audited annual financial statements, provisional balance sheets, Chartered Accountant (CA) certified Credit Monitoring Arrangement (CMA) data, income tax returns (ITR-V), GST returns (GSTR-3B / GSTR-1), six-month operational bank account statements, and property valuation certificates. Ingesting and reconciling these unstructured and semi-structured documents manually consumes substantial analytical bandwidth.</w:t>
      </w:r>
    </w:p>
    <w:p>
      <w:pPr>
        <w:spacing w:before="40" w:after="100"/>
      </w:pPr>
      <w:r>
        <w:rPr>
          <w:rFonts w:ascii="Calibri" w:hAnsi="Calibri"/>
          <w:b w:val="0"/>
          <w:i w:val="0"/>
          <w:color w:val="1E293B"/>
          <w:sz w:val="21"/>
        </w:rPr>
        <w:t xml:space="preserve">2. </w:t>
      </w:r>
      <w:r>
        <w:rPr>
          <w:rFonts w:ascii="Calibri" w:hAnsi="Calibri"/>
          <w:b/>
          <w:i w:val="0"/>
          <w:color w:val="1E293B"/>
          <w:sz w:val="21"/>
        </w:rPr>
        <w:t>Manual Financial Spreading &amp; Ratio Computation</w:t>
      </w:r>
      <w:r>
        <w:rPr>
          <w:rFonts w:ascii="Calibri" w:hAnsi="Calibri"/>
          <w:b w:val="0"/>
          <w:i w:val="0"/>
          <w:color w:val="1E293B"/>
          <w:sz w:val="21"/>
        </w:rPr>
        <w:t>:</w:t>
      </w:r>
    </w:p>
    <w:p>
      <w:pPr>
        <w:spacing w:before="40" w:after="100"/>
      </w:pPr>
      <w:r>
        <w:rPr>
          <w:rFonts w:ascii="Calibri" w:hAnsi="Calibri"/>
          <w:b w:val="0"/>
          <w:i w:val="0"/>
          <w:color w:val="1E293B"/>
          <w:sz w:val="21"/>
        </w:rPr>
        <w:t xml:space="preserve">   Underwriting officers must manually transcribe balance sheet line items into internal banking spreadsheets to calculate statutory financial liquidity ratios (Current Ratio, Quick Ratio), leverage metrics (Debt-to-Equity Ratio, Total Outside Liabilities to Tangible Net Worth), and debt-serviceability indices (Debt Service Coverage Ratio - DSCR, Fixed Obligation to Income Ratio - FOIR). This manual computation introduces material latency and creates susceptibility to transcription errors.</w:t>
      </w:r>
    </w:p>
    <w:p>
      <w:pPr>
        <w:spacing w:before="40" w:after="100"/>
      </w:pPr>
      <w:r>
        <w:rPr>
          <w:rFonts w:ascii="Calibri" w:hAnsi="Calibri"/>
          <w:b w:val="0"/>
          <w:i w:val="0"/>
          <w:color w:val="1E293B"/>
          <w:sz w:val="21"/>
        </w:rPr>
        <w:t xml:space="preserve">3. </w:t>
      </w:r>
      <w:r>
        <w:rPr>
          <w:rFonts w:ascii="Calibri" w:hAnsi="Calibri"/>
          <w:b/>
          <w:i w:val="0"/>
          <w:color w:val="1E293B"/>
          <w:sz w:val="21"/>
        </w:rPr>
        <w:t>Complex Regulatory Cross-Referencing</w:t>
      </w:r>
      <w:r>
        <w:rPr>
          <w:rFonts w:ascii="Calibri" w:hAnsi="Calibri"/>
          <w:b w:val="0"/>
          <w:i w:val="0"/>
          <w:color w:val="1E293B"/>
          <w:sz w:val="21"/>
        </w:rPr>
        <w:t>:</w:t>
      </w:r>
    </w:p>
    <w:p>
      <w:pPr>
        <w:spacing w:before="40" w:after="100"/>
      </w:pPr>
      <w:r>
        <w:rPr>
          <w:rFonts w:ascii="Calibri" w:hAnsi="Calibri"/>
          <w:b w:val="0"/>
          <w:i w:val="0"/>
          <w:color w:val="1E293B"/>
          <w:sz w:val="21"/>
        </w:rPr>
        <w:t xml:space="preserve">   Credit appraisals must strictly comply with a vast corpus of regulatory circulars issued by the </w:t>
      </w:r>
      <w:r>
        <w:rPr>
          <w:rFonts w:ascii="Calibri" w:hAnsi="Calibri"/>
          <w:b/>
          <w:i w:val="0"/>
          <w:color w:val="1E293B"/>
          <w:sz w:val="21"/>
        </w:rPr>
        <w:t>Reserve Bank of India (RBI)</w:t>
      </w:r>
      <w:r>
        <w:rPr>
          <w:rFonts w:ascii="Calibri" w:hAnsi="Calibri"/>
          <w:b w:val="0"/>
          <w:i w:val="0"/>
          <w:color w:val="1E293B"/>
          <w:sz w:val="21"/>
        </w:rPr>
        <w:t>—such as prudential ceilings on Loan-to-Value (LTV) ratios and risk-weighted capital provisioning—as well as internal Master Circulars on Rate of Interest (RBLR grids), lending thresholds, and Micro and Small Enterprise (MSE) rating scorecards. Manually cross-referencing multi-hundred-page policy documents leads to operational fatigue and inadvertent compliance slippages.</w:t>
      </w:r>
    </w:p>
    <w:p>
      <w:pPr>
        <w:spacing w:before="40" w:after="100"/>
      </w:pPr>
      <w:r>
        <w:rPr>
          <w:rFonts w:ascii="Calibri" w:hAnsi="Calibri"/>
          <w:b w:val="0"/>
          <w:i w:val="0"/>
          <w:color w:val="1E293B"/>
          <w:sz w:val="21"/>
        </w:rPr>
        <w:t xml:space="preserve">4. </w:t>
      </w:r>
      <w:r>
        <w:rPr>
          <w:rFonts w:ascii="Calibri" w:hAnsi="Calibri"/>
          <w:b/>
          <w:i w:val="0"/>
          <w:color w:val="1E293B"/>
          <w:sz w:val="21"/>
        </w:rPr>
        <w:t>Subjective Risk Adjudication</w:t>
      </w:r>
      <w:r>
        <w:rPr>
          <w:rFonts w:ascii="Calibri" w:hAnsi="Calibri"/>
          <w:b w:val="0"/>
          <w:i w:val="0"/>
          <w:color w:val="1E293B"/>
          <w:sz w:val="21"/>
        </w:rPr>
        <w:t>:</w:t>
      </w:r>
    </w:p>
    <w:p>
      <w:pPr>
        <w:spacing w:before="40" w:after="100"/>
      </w:pPr>
      <w:r>
        <w:rPr>
          <w:rFonts w:ascii="Calibri" w:hAnsi="Calibri"/>
          <w:b w:val="0"/>
          <w:i w:val="0"/>
          <w:color w:val="1E293B"/>
          <w:sz w:val="21"/>
        </w:rPr>
        <w:t xml:space="preserve">   Traditional credit appraisal relies heavily on heuristic judgment and qualitative discretion. The absence of automated, forward-looking predictive default models often leads to inconsistent risk rating assignments across different branch locations and underwriting officers.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pPr>
        <w:spacing w:before="240" w:after="80"/>
      </w:pPr>
      <w:r>
        <w:rPr>
          <w:rFonts w:ascii="Calibri" w:hAnsi="Calibri"/>
          <w:b/>
          <w:i w:val="0"/>
          <w:color w:val="003366"/>
          <w:sz w:val="27"/>
        </w:rPr>
        <w:t>1.2 🏛️ Central Bank of India: Institutional Heritage &amp; Digital Strategy</w:t>
      </w:r>
    </w:p>
    <w:p>
      <w:pPr>
        <w:spacing w:before="40" w:after="100"/>
      </w:pPr>
      <w:r>
        <w:rPr>
          <w:rFonts w:ascii="Calibri" w:hAnsi="Calibri"/>
          <w:b w:val="0"/>
          <w:i w:val="0"/>
          <w:color w:val="1E293B"/>
          <w:sz w:val="21"/>
        </w:rPr>
        <w:t xml:space="preserve">Established on </w:t>
      </w:r>
      <w:r>
        <w:rPr>
          <w:rFonts w:ascii="Calibri" w:hAnsi="Calibri"/>
          <w:b/>
          <w:i w:val="0"/>
          <w:color w:val="1E293B"/>
          <w:sz w:val="21"/>
        </w:rPr>
        <w:t>21st December 1911</w:t>
      </w:r>
      <w:r>
        <w:rPr>
          <w:rFonts w:ascii="Calibri" w:hAnsi="Calibri"/>
          <w:b w:val="0"/>
          <w:i w:val="0"/>
          <w:color w:val="1E293B"/>
          <w:sz w:val="21"/>
        </w:rPr>
        <w:t xml:space="preserve"> by the visionary banker </w:t>
      </w:r>
      <w:r>
        <w:rPr>
          <w:rFonts w:ascii="Calibri" w:hAnsi="Calibri"/>
          <w:b/>
          <w:i w:val="0"/>
          <w:color w:val="1E293B"/>
          <w:sz w:val="21"/>
        </w:rPr>
        <w:t>Sir Sorabji Pochkhanawala</w:t>
      </w:r>
      <w:r>
        <w:rPr>
          <w:rFonts w:ascii="Calibri" w:hAnsi="Calibri"/>
          <w:b w:val="0"/>
          <w:i w:val="0"/>
          <w:color w:val="1E293B"/>
          <w:sz w:val="21"/>
        </w:rPr>
        <w:t xml:space="preserve"> under the chairmanship of the eminent nationalist leader </w:t>
      </w:r>
      <w:r>
        <w:rPr>
          <w:rFonts w:ascii="Calibri" w:hAnsi="Calibri"/>
          <w:b/>
          <w:i w:val="0"/>
          <w:color w:val="1E293B"/>
          <w:sz w:val="21"/>
        </w:rPr>
        <w:t>Sir Pherozeshah Mehta</w:t>
      </w:r>
      <w:r>
        <w:rPr>
          <w:rFonts w:ascii="Calibri" w:hAnsi="Calibri"/>
          <w:b w:val="0"/>
          <w:i w:val="0"/>
          <w:color w:val="1E293B"/>
          <w:sz w:val="21"/>
        </w:rPr>
        <w:t xml:space="preserve">, the </w:t>
      </w:r>
      <w:r>
        <w:rPr>
          <w:rFonts w:ascii="Calibri" w:hAnsi="Calibri"/>
          <w:b/>
          <w:i w:val="0"/>
          <w:color w:val="1E293B"/>
          <w:sz w:val="21"/>
        </w:rPr>
        <w:t>Central Bank of India (CBoI)</w:t>
      </w:r>
      <w:r>
        <w:rPr>
          <w:rFonts w:ascii="Calibri" w:hAnsi="Calibri"/>
          <w:b w:val="0"/>
          <w:i w:val="0"/>
          <w:color w:val="1E293B"/>
          <w:sz w:val="21"/>
        </w:rPr>
        <w:t xml:space="preserve"> holds the distinguished historical honor of being the first truly Indian commercial bank completely owned and managed by Indians without foreign assistance. Promoted with the nationalist ethos of </w:t>
      </w:r>
      <w:r>
        <w:rPr>
          <w:rFonts w:ascii="Calibri" w:hAnsi="Calibri"/>
          <w:b w:val="0"/>
          <w:i/>
          <w:color w:val="1E293B"/>
          <w:sz w:val="21"/>
        </w:rPr>
        <w:t>"Central to You Since 1911"</w:t>
      </w:r>
      <w:r>
        <w:rPr>
          <w:rFonts w:ascii="Calibri" w:hAnsi="Calibri"/>
          <w:b w:val="0"/>
          <w:i w:val="0"/>
          <w:color w:val="1E293B"/>
          <w:sz w:val="21"/>
        </w:rPr>
        <w:t>, the institution was nationalized by the Government of India in July 1969.</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 xml:space="preserve">       ┌────────────────────────────────────────────────────────────────────────┐</w:t>
              <w:br/>
              <w:t xml:space="preserve">       │                       CENTRAL BANK OF INDIA                            │</w:t>
              <w:br/>
              <w:t xml:space="preserve">       │                   "Central to You Since 1911"                          │</w:t>
              <w:br/>
              <w:t xml:space="preserve">       ├────────────────────────────────────────────────────────────────────────┤</w:t>
              <w:br/>
              <w:t xml:space="preserve">       │ • Established: 21 December 1911 by Sir Sorabji Pochkhanawala          │</w:t>
              <w:br/>
              <w:t xml:space="preserve">       │ • First Indian Commercial Bank owned and managed entirely by Indians   │</w:t>
              <w:br/>
              <w:t xml:space="preserve">       │ • Nationalized: July 1969 under the Banking Companies Act              │</w:t>
              <w:br/>
              <w:t xml:space="preserve">       │ • Network: Over 4,500 Branches &amp; 100+ Regional Offices nationwide     │</w:t>
              <w:br/>
              <w:t xml:space="preserve">       │ • Focus: Priority Sector Lending (PSL), Retail Advances &amp; MSME Hubs    │</w:t>
              <w:br/>
              <w:t xml:space="preserve">       └────────────────────────────────────────────────────────────────────────┘</w:t>
            </w:r>
          </w:p>
        </w:tc>
      </w:tr>
    </w:tbl>
    <w:p>
      <w:pPr>
        <w:spacing w:before="0" w:after="120"/>
      </w:pPr>
    </w:p>
    <w:p>
      <w:pPr>
        <w:spacing w:before="40" w:after="100"/>
      </w:pPr>
      <w:r>
        <w:rPr>
          <w:rFonts w:ascii="Calibri" w:hAnsi="Calibri"/>
          <w:b w:val="0"/>
          <w:i w:val="0"/>
          <w:color w:val="1E293B"/>
          <w:sz w:val="21"/>
        </w:rPr>
        <w:t>Today, Central Bank of India operates an expansive pan-India footprint comprising over 4,500 branch offices, more than 3,000 automated teller machines (ATMs), and over 100 Regional Offices, with a commanding presence in rural, semi-urban, and industrial growth corridors.</w:t>
      </w:r>
    </w:p>
    <w:p>
      <w:pPr>
        <w:spacing w:before="200" w:after="60"/>
      </w:pPr>
      <w:r>
        <w:rPr>
          <w:rFonts w:ascii="Calibri" w:hAnsi="Calibri"/>
          <w:b/>
          <w:i w:val="0"/>
          <w:color w:val="003366"/>
          <w:sz w:val="24"/>
        </w:rPr>
        <w:t>Institutional Role of Regional Office, Visakhapatnam:</w:t>
      </w:r>
    </w:p>
    <w:p>
      <w:pPr>
        <w:spacing w:before="40" w:after="100"/>
      </w:pPr>
      <w:r>
        <w:rPr>
          <w:rFonts w:ascii="Calibri" w:hAnsi="Calibri"/>
          <w:b w:val="0"/>
          <w:i w:val="0"/>
          <w:color w:val="1E293B"/>
          <w:sz w:val="21"/>
        </w:rPr>
        <w:t xml:space="preserve">The </w:t>
      </w:r>
      <w:r>
        <w:rPr>
          <w:rFonts w:ascii="Calibri" w:hAnsi="Calibri"/>
          <w:b/>
          <w:i w:val="0"/>
          <w:color w:val="1E293B"/>
          <w:sz w:val="21"/>
        </w:rPr>
        <w:t>Visakhapatnam Regional Office</w:t>
      </w:r>
      <w:r>
        <w:rPr>
          <w:rFonts w:ascii="Calibri" w:hAnsi="Calibri"/>
          <w:b w:val="0"/>
          <w:i w:val="0"/>
          <w:color w:val="1E293B"/>
          <w:sz w:val="21"/>
        </w:rPr>
        <w:t xml:space="preserve"> oversees branch operations and credit disbursement across a strategically vital coastal industrial corridor in Andhra Pradesh. The region represents a dynamic credit mix comprising:</w:t>
      </w:r>
    </w:p>
    <w:p>
      <w:pPr>
        <w:spacing w:before="40" w:after="40"/>
        <w:ind w:left="360"/>
      </w:pPr>
      <w:r>
        <w:rPr>
          <w:rFonts w:ascii="Calibri" w:hAnsi="Calibri"/>
          <w:b/>
          <w:color w:val="003366"/>
        </w:rPr>
        <w:t xml:space="preserve">• </w:t>
      </w:r>
      <w:r>
        <w:rPr>
          <w:rFonts w:ascii="Calibri" w:hAnsi="Calibri"/>
          <w:b/>
          <w:i w:val="0"/>
          <w:color w:val="1E293B"/>
          <w:sz w:val="21"/>
        </w:rPr>
        <w:t>Retail Credit Demands</w:t>
      </w:r>
      <w:r>
        <w:rPr>
          <w:rFonts w:ascii="Calibri" w:hAnsi="Calibri"/>
          <w:b w:val="0"/>
          <w:i w:val="0"/>
          <w:color w:val="1E293B"/>
          <w:sz w:val="21"/>
        </w:rPr>
        <w:t>: Housing loans (</w:t>
      </w:r>
      <w:r>
        <w:rPr>
          <w:rFonts w:ascii="Calibri" w:hAnsi="Calibri"/>
          <w:b w:val="0"/>
          <w:i/>
          <w:color w:val="1E293B"/>
          <w:sz w:val="21"/>
        </w:rPr>
        <w:t>Cent Home</w:t>
      </w:r>
      <w:r>
        <w:rPr>
          <w:rFonts w:ascii="Calibri" w:hAnsi="Calibri"/>
          <w:b w:val="0"/>
          <w:i w:val="0"/>
          <w:color w:val="1E293B"/>
          <w:sz w:val="21"/>
        </w:rPr>
        <w:t>), vehicle finance (</w:t>
      </w:r>
      <w:r>
        <w:rPr>
          <w:rFonts w:ascii="Calibri" w:hAnsi="Calibri"/>
          <w:b w:val="0"/>
          <w:i/>
          <w:color w:val="1E293B"/>
          <w:sz w:val="21"/>
        </w:rPr>
        <w:t>Cent Vehicle</w:t>
      </w:r>
      <w:r>
        <w:rPr>
          <w:rFonts w:ascii="Calibri" w:hAnsi="Calibri"/>
          <w:b w:val="0"/>
          <w:i w:val="0"/>
          <w:color w:val="1E293B"/>
          <w:sz w:val="21"/>
        </w:rPr>
        <w:t>), personal loans (</w:t>
      </w:r>
      <w:r>
        <w:rPr>
          <w:rFonts w:ascii="Calibri" w:hAnsi="Calibri"/>
          <w:b w:val="0"/>
          <w:i/>
          <w:color w:val="1E293B"/>
          <w:sz w:val="21"/>
        </w:rPr>
        <w:t>Cent Personal</w:t>
      </w:r>
      <w:r>
        <w:rPr>
          <w:rFonts w:ascii="Calibri" w:hAnsi="Calibri"/>
          <w:b w:val="0"/>
          <w:i w:val="0"/>
          <w:color w:val="1E293B"/>
          <w:sz w:val="21"/>
        </w:rPr>
        <w:t>), and educational credit driven by urban professionals and industrial workforces.</w:t>
      </w:r>
    </w:p>
    <w:p>
      <w:pPr>
        <w:spacing w:before="40" w:after="40"/>
        <w:ind w:left="360"/>
      </w:pPr>
      <w:r>
        <w:rPr>
          <w:rFonts w:ascii="Calibri" w:hAnsi="Calibri"/>
          <w:b/>
          <w:color w:val="003366"/>
        </w:rPr>
        <w:t xml:space="preserve">• </w:t>
      </w:r>
      <w:r>
        <w:rPr>
          <w:rFonts w:ascii="Calibri" w:hAnsi="Calibri"/>
          <w:b/>
          <w:i w:val="0"/>
          <w:color w:val="1E293B"/>
          <w:sz w:val="21"/>
        </w:rPr>
        <w:t>Micro and Small Enterprise (MSME) Facilities</w:t>
      </w:r>
      <w:r>
        <w:rPr>
          <w:rFonts w:ascii="Calibri" w:hAnsi="Calibri"/>
          <w:b w:val="0"/>
          <w:i w:val="0"/>
          <w:color w:val="1E293B"/>
          <w:sz w:val="21"/>
        </w:rPr>
        <w:t>: Working capital limits (Cash Credit / Overdraft), term loans, and bank guarantees for manufacturing ancillary units, port-related logistics providers, marine processing units, and service enterprises clustered around the Visakhapatnam industrial belt.</w:t>
      </w:r>
    </w:p>
    <w:p>
      <w:pPr>
        <w:spacing w:before="200" w:after="60"/>
      </w:pPr>
      <w:r>
        <w:rPr>
          <w:rFonts w:ascii="Calibri" w:hAnsi="Calibri"/>
          <w:b/>
          <w:i w:val="0"/>
          <w:color w:val="003366"/>
          <w:sz w:val="24"/>
        </w:rPr>
        <w:t>The Institutional Need for Underwriting Modernization:</w:t>
      </w:r>
    </w:p>
    <w:p>
      <w:pPr>
        <w:spacing w:before="40" w:after="100"/>
      </w:pPr>
      <w:r>
        <w:rPr>
          <w:rFonts w:ascii="Calibri" w:hAnsi="Calibri"/>
          <w:b w:val="0"/>
          <w:i w:val="0"/>
          <w:color w:val="1E293B"/>
          <w:sz w:val="21"/>
        </w:rPr>
        <w:t xml:space="preserve">Under its ongoing digital transformation strategy, Central Bank of India is actively transitioning from legacy document-intensive underwriting toward </w:t>
      </w:r>
      <w:r>
        <w:rPr>
          <w:rFonts w:ascii="Calibri" w:hAnsi="Calibri"/>
          <w:b/>
          <w:i w:val="0"/>
          <w:color w:val="1E293B"/>
          <w:sz w:val="21"/>
        </w:rPr>
        <w:t>automated, rule-governed, and data-driven credit appraisal mechanisms</w:t>
      </w:r>
      <w:r>
        <w:rPr>
          <w:rFonts w:ascii="Calibri" w:hAnsi="Calibri"/>
          <w:b w:val="0"/>
          <w:i w:val="0"/>
          <w:color w:val="1E293B"/>
          <w:sz w:val="21"/>
        </w:rPr>
        <w:t>. The objective is to compress operational Turnaround Time (TAT), eliminate manual appraisal subjectivity, enforce automated regulatory compliance, and deploy advanced artificial intelligence to safeguard the bank's balance sheet against non-performing assets (NPAs).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pPr>
        <w:spacing w:before="240" w:after="80"/>
      </w:pPr>
      <w:r>
        <w:rPr>
          <w:rFonts w:ascii="Calibri" w:hAnsi="Calibri"/>
          <w:b/>
          <w:i w:val="0"/>
          <w:color w:val="003366"/>
          <w:sz w:val="27"/>
        </w:rPr>
        <w:t>1.3 ⚠️ Problem Statement &amp; Turnaround Time (TAT) Friction</w:t>
      </w:r>
    </w:p>
    <w:p>
      <w:pPr>
        <w:spacing w:before="40" w:after="100"/>
      </w:pPr>
      <w:r>
        <w:rPr>
          <w:rFonts w:ascii="Calibri" w:hAnsi="Calibri"/>
          <w:b w:val="0"/>
          <w:i w:val="0"/>
          <w:color w:val="1E293B"/>
          <w:sz w:val="21"/>
        </w:rPr>
        <w:t>The traditional credit underwriting lifecycle in public sector commercial banking is characterized by an extensive multi-stage pipeline. A detailed operational audit of the manual underwriting process reveals severe time inflation across every phase of credit processing:</w:t>
      </w:r>
    </w:p>
    <w:p>
      <w:pPr>
        <w:spacing w:before="200" w:after="60"/>
      </w:pPr>
      <w:r>
        <w:rPr>
          <w:rFonts w:ascii="Calibri" w:hAnsi="Calibri"/>
          <w:b/>
          <w:i w:val="0"/>
          <w:color w:val="003366"/>
          <w:sz w:val="24"/>
        </w:rPr>
        <w:t>Table 1.1: Operational Turnaround Time (TAT) Breakdown Across Manual Credit Stages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Mar>
              <w:top w:w="60" w:type="dxa"/>
              <w:bottom w:w="60" w:type="dxa"/>
              <w:left w:w="80" w:type="dxa"/>
              <w:right w:w="80" w:type="dxa"/>
            </w:tcMar>
          </w:tcPr>
          <w:p>
            <w:pPr>
              <w:spacing w:before="40" w:after="40"/>
            </w:pPr>
            <w:r>
              <w:rPr>
                <w:rFonts w:ascii="Calibri" w:hAnsi="Calibri"/>
                <w:b/>
                <w:color w:val="FFFFFF"/>
                <w:sz w:val="19"/>
              </w:rPr>
              <w:t>Stage #</w:t>
            </w:r>
          </w:p>
        </w:tc>
        <w:tc>
          <w:tcPr>
            <w:tcW w:type="dxa" w:w="1872"/>
            <w:shd w:fill="003366"/>
            <w:tcMar>
              <w:top w:w="60" w:type="dxa"/>
              <w:bottom w:w="60" w:type="dxa"/>
              <w:left w:w="80" w:type="dxa"/>
              <w:right w:w="80" w:type="dxa"/>
            </w:tcMar>
          </w:tcPr>
          <w:p>
            <w:pPr>
              <w:spacing w:before="40" w:after="40"/>
            </w:pPr>
            <w:r>
              <w:rPr>
                <w:rFonts w:ascii="Calibri" w:hAnsi="Calibri"/>
                <w:b/>
                <w:color w:val="FFFFFF"/>
                <w:sz w:val="19"/>
              </w:rPr>
              <w:t>Underwriting Phase</w:t>
            </w:r>
          </w:p>
        </w:tc>
        <w:tc>
          <w:tcPr>
            <w:tcW w:type="dxa" w:w="1872"/>
            <w:shd w:fill="003366"/>
            <w:tcMar>
              <w:top w:w="60" w:type="dxa"/>
              <w:bottom w:w="60" w:type="dxa"/>
              <w:left w:w="80" w:type="dxa"/>
              <w:right w:w="80" w:type="dxa"/>
            </w:tcMar>
          </w:tcPr>
          <w:p>
            <w:pPr>
              <w:spacing w:before="40" w:after="40"/>
            </w:pPr>
            <w:r>
              <w:rPr>
                <w:rFonts w:ascii="Calibri" w:hAnsi="Calibri"/>
                <w:b/>
                <w:color w:val="FFFFFF"/>
                <w:sz w:val="19"/>
              </w:rPr>
              <w:t>Core Operational Activities</w:t>
            </w:r>
          </w:p>
        </w:tc>
        <w:tc>
          <w:tcPr>
            <w:tcW w:type="dxa" w:w="1872"/>
            <w:shd w:fill="003366"/>
            <w:tcMar>
              <w:top w:w="60" w:type="dxa"/>
              <w:bottom w:w="60" w:type="dxa"/>
              <w:left w:w="80" w:type="dxa"/>
              <w:right w:w="80" w:type="dxa"/>
            </w:tcMar>
          </w:tcPr>
          <w:p>
            <w:pPr>
              <w:spacing w:before="40" w:after="40"/>
            </w:pPr>
            <w:r>
              <w:rPr>
                <w:rFonts w:ascii="Calibri" w:hAnsi="Calibri"/>
                <w:b/>
                <w:color w:val="FFFFFF"/>
                <w:sz w:val="19"/>
              </w:rPr>
              <w:t>Manual TAT</w:t>
            </w:r>
          </w:p>
        </w:tc>
        <w:tc>
          <w:tcPr>
            <w:tcW w:type="dxa" w:w="1872"/>
            <w:shd w:fill="003366"/>
            <w:tcMar>
              <w:top w:w="60" w:type="dxa"/>
              <w:bottom w:w="60" w:type="dxa"/>
              <w:left w:w="80" w:type="dxa"/>
              <w:right w:w="80" w:type="dxa"/>
            </w:tcMar>
          </w:tcPr>
          <w:p>
            <w:pPr>
              <w:spacing w:before="40" w:after="40"/>
            </w:pPr>
            <w:r>
              <w:rPr>
                <w:rFonts w:ascii="Calibri" w:hAnsi="Calibri"/>
                <w:b/>
                <w:color w:val="FFFFFF"/>
                <w:sz w:val="19"/>
              </w:rPr>
              <w:t>Primary Bottlenecks &amp; Friction Points</w:t>
            </w:r>
          </w:p>
        </w:tc>
      </w:tr>
      <w:tr>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1</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Customer Data Ingestion</w:t>
            </w:r>
          </w:p>
        </w:tc>
        <w:tc>
          <w:tcPr>
            <w:tcW w:type="dxa" w:w="1872"/>
            <w:shd w:fill="F8FAFC"/>
            <w:tcMar>
              <w:top w:w="40" w:type="dxa"/>
              <w:bottom w:w="40" w:type="dxa"/>
              <w:left w:w="60" w:type="dxa"/>
              <w:right w:w="60" w:type="dxa"/>
            </w:tcMar>
          </w:tcPr>
          <w:p>
            <w:pPr>
              <w:spacing w:before="20" w:after="20"/>
            </w:pPr>
            <w:r>
              <w:rPr>
                <w:rFonts w:ascii="Calibri" w:hAnsi="Calibri"/>
                <w:b w:val="0"/>
                <w:i w:val="0"/>
                <w:color w:val="1E293B"/>
                <w:sz w:val="18"/>
              </w:rPr>
              <w:t>Collecting physical application forms, salary slips, and ID proofs.</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24 – 48 Hours</w:t>
            </w:r>
          </w:p>
        </w:tc>
        <w:tc>
          <w:tcPr>
            <w:tcW w:type="dxa" w:w="1872"/>
            <w:shd w:fill="F8FAFC"/>
            <w:tcMar>
              <w:top w:w="40" w:type="dxa"/>
              <w:bottom w:w="40" w:type="dxa"/>
              <w:left w:w="60" w:type="dxa"/>
              <w:right w:w="60" w:type="dxa"/>
            </w:tcMar>
          </w:tcPr>
          <w:p>
            <w:pPr>
              <w:spacing w:before="20" w:after="20"/>
            </w:pPr>
            <w:r>
              <w:rPr>
                <w:rFonts w:ascii="Calibri" w:hAnsi="Calibri"/>
                <w:b w:val="0"/>
                <w:i w:val="0"/>
                <w:color w:val="1E293B"/>
                <w:sz w:val="18"/>
              </w:rPr>
              <w:t>Manual entry into Core Banking (CBS); unencrypted PII exposure.</w:t>
            </w:r>
          </w:p>
        </w:tc>
      </w:tr>
      <w:tr>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2</w:t>
            </w:r>
          </w:p>
        </w:tc>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Document Processing &amp; OCR</w:t>
            </w:r>
          </w:p>
        </w:tc>
        <w:tc>
          <w:tcPr>
            <w:tcW w:type="dxa" w:w="1872"/>
            <w:shd w:fill="FFFFFF"/>
            <w:tcMar>
              <w:top w:w="40" w:type="dxa"/>
              <w:bottom w:w="40" w:type="dxa"/>
              <w:left w:w="60" w:type="dxa"/>
              <w:right w:w="60" w:type="dxa"/>
            </w:tcMar>
          </w:tcPr>
          <w:p>
            <w:pPr>
              <w:spacing w:before="20" w:after="20"/>
            </w:pPr>
            <w:r>
              <w:rPr>
                <w:rFonts w:ascii="Calibri" w:hAnsi="Calibri"/>
                <w:b w:val="0"/>
                <w:i w:val="0"/>
                <w:color w:val="1E293B"/>
                <w:sz w:val="18"/>
              </w:rPr>
              <w:t>Manual extraction of line items from PDF/Word balance sheets.</w:t>
            </w:r>
          </w:p>
        </w:tc>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24 – 48 Hours</w:t>
            </w:r>
          </w:p>
        </w:tc>
        <w:tc>
          <w:tcPr>
            <w:tcW w:type="dxa" w:w="1872"/>
            <w:shd w:fill="FFFFFF"/>
            <w:tcMar>
              <w:top w:w="40" w:type="dxa"/>
              <w:bottom w:w="40" w:type="dxa"/>
              <w:left w:w="60" w:type="dxa"/>
              <w:right w:w="60" w:type="dxa"/>
            </w:tcMar>
          </w:tcPr>
          <w:p>
            <w:pPr>
              <w:spacing w:before="20" w:after="20"/>
            </w:pPr>
            <w:r>
              <w:rPr>
                <w:rFonts w:ascii="Calibri" w:hAnsi="Calibri"/>
                <w:b w:val="0"/>
                <w:i w:val="0"/>
                <w:color w:val="1E293B"/>
                <w:sz w:val="18"/>
              </w:rPr>
              <w:t>Heterogeneous formats; lack of standardized financial schemas.</w:t>
            </w:r>
          </w:p>
        </w:tc>
      </w:tr>
      <w:tr>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3</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KYC &amp; Identity Verification</w:t>
            </w:r>
          </w:p>
        </w:tc>
        <w:tc>
          <w:tcPr>
            <w:tcW w:type="dxa" w:w="1872"/>
            <w:shd w:fill="F8FAFC"/>
            <w:tcMar>
              <w:top w:w="40" w:type="dxa"/>
              <w:bottom w:w="40" w:type="dxa"/>
              <w:left w:w="60" w:type="dxa"/>
              <w:right w:w="60" w:type="dxa"/>
            </w:tcMar>
          </w:tcPr>
          <w:p>
            <w:pPr>
              <w:spacing w:before="20" w:after="20"/>
            </w:pPr>
            <w:r>
              <w:rPr>
                <w:rFonts w:ascii="Calibri" w:hAnsi="Calibri"/>
                <w:b w:val="0"/>
                <w:i w:val="0"/>
                <w:color w:val="1E293B"/>
                <w:sz w:val="18"/>
              </w:rPr>
              <w:t>Cross-checking PAN, Aadhaar, and MCA incorporation documents.</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12 – 24 Hours</w:t>
            </w:r>
          </w:p>
        </w:tc>
        <w:tc>
          <w:tcPr>
            <w:tcW w:type="dxa" w:w="1872"/>
            <w:shd w:fill="F8FAFC"/>
            <w:tcMar>
              <w:top w:w="40" w:type="dxa"/>
              <w:bottom w:w="40" w:type="dxa"/>
              <w:left w:w="60" w:type="dxa"/>
              <w:right w:w="60" w:type="dxa"/>
            </w:tcMar>
          </w:tcPr>
          <w:p>
            <w:pPr>
              <w:spacing w:before="20" w:after="20"/>
            </w:pPr>
            <w:r>
              <w:rPr>
                <w:rFonts w:ascii="Calibri" w:hAnsi="Calibri"/>
                <w:b w:val="0"/>
                <w:i w:val="0"/>
                <w:color w:val="1E293B"/>
                <w:sz w:val="18"/>
              </w:rPr>
              <w:t>Disjointed external verification portals; risk of synthetic identity fraud.</w:t>
            </w:r>
          </w:p>
        </w:tc>
      </w:tr>
      <w:tr>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4</w:t>
            </w:r>
          </w:p>
        </w:tc>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Disbursement Bank Validation</w:t>
            </w:r>
          </w:p>
        </w:tc>
        <w:tc>
          <w:tcPr>
            <w:tcW w:type="dxa" w:w="1872"/>
            <w:shd w:fill="FFFFFF"/>
            <w:tcMar>
              <w:top w:w="40" w:type="dxa"/>
              <w:bottom w:w="40" w:type="dxa"/>
              <w:left w:w="60" w:type="dxa"/>
              <w:right w:w="60" w:type="dxa"/>
            </w:tcMar>
          </w:tcPr>
          <w:p>
            <w:pPr>
              <w:spacing w:before="20" w:after="20"/>
            </w:pPr>
            <w:r>
              <w:rPr>
                <w:rFonts w:ascii="Calibri" w:hAnsi="Calibri"/>
                <w:b w:val="0"/>
                <w:i w:val="0"/>
                <w:color w:val="1E293B"/>
                <w:sz w:val="18"/>
              </w:rPr>
              <w:t>Validating operative bank account details and active mandates.</w:t>
            </w:r>
          </w:p>
        </w:tc>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12 – 24 Hours</w:t>
            </w:r>
          </w:p>
        </w:tc>
        <w:tc>
          <w:tcPr>
            <w:tcW w:type="dxa" w:w="1872"/>
            <w:shd w:fill="FFFFFF"/>
            <w:tcMar>
              <w:top w:w="40" w:type="dxa"/>
              <w:bottom w:w="40" w:type="dxa"/>
              <w:left w:w="60" w:type="dxa"/>
              <w:right w:w="60" w:type="dxa"/>
            </w:tcMar>
          </w:tcPr>
          <w:p>
            <w:pPr>
              <w:spacing w:before="20" w:after="20"/>
            </w:pPr>
            <w:r>
              <w:rPr>
                <w:rFonts w:ascii="Calibri" w:hAnsi="Calibri"/>
                <w:b w:val="0"/>
                <w:i w:val="0"/>
                <w:color w:val="1E293B"/>
                <w:sz w:val="18"/>
              </w:rPr>
              <w:t>Manual cheque leaf inspection; delayed penny drop verification.</w:t>
            </w:r>
          </w:p>
        </w:tc>
      </w:tr>
      <w:tr>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5</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Financial &amp; Ratio Analysis</w:t>
            </w:r>
          </w:p>
        </w:tc>
        <w:tc>
          <w:tcPr>
            <w:tcW w:type="dxa" w:w="1872"/>
            <w:shd w:fill="F8FAFC"/>
            <w:tcMar>
              <w:top w:w="40" w:type="dxa"/>
              <w:bottom w:w="40" w:type="dxa"/>
              <w:left w:w="60" w:type="dxa"/>
              <w:right w:w="60" w:type="dxa"/>
            </w:tcMar>
          </w:tcPr>
          <w:p>
            <w:pPr>
              <w:spacing w:before="20" w:after="20"/>
            </w:pPr>
            <w:r>
              <w:rPr>
                <w:rFonts w:ascii="Calibri" w:hAnsi="Calibri"/>
                <w:b w:val="0"/>
                <w:i w:val="0"/>
                <w:color w:val="1E293B"/>
                <w:sz w:val="18"/>
              </w:rPr>
              <w:t>Calculating EMI, FOIR, LTV, and Form MSE 1 / MSE II scorecards.</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48 – 72 Hours</w:t>
            </w:r>
          </w:p>
        </w:tc>
        <w:tc>
          <w:tcPr>
            <w:tcW w:type="dxa" w:w="1872"/>
            <w:shd w:fill="F8FAFC"/>
            <w:tcMar>
              <w:top w:w="40" w:type="dxa"/>
              <w:bottom w:w="40" w:type="dxa"/>
              <w:left w:w="60" w:type="dxa"/>
              <w:right w:w="60" w:type="dxa"/>
            </w:tcMar>
          </w:tcPr>
          <w:p>
            <w:pPr>
              <w:spacing w:before="20" w:after="20"/>
            </w:pPr>
            <w:r>
              <w:rPr>
                <w:rFonts w:ascii="Calibri" w:hAnsi="Calibri"/>
                <w:b w:val="0"/>
                <w:i w:val="0"/>
                <w:color w:val="1E293B"/>
                <w:sz w:val="18"/>
              </w:rPr>
              <w:t>Complex spreadsheet formulas; human error in multi-parameter weighting.</w:t>
            </w:r>
          </w:p>
        </w:tc>
      </w:tr>
      <w:tr>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6</w:t>
            </w:r>
          </w:p>
        </w:tc>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Credit Bureau &amp; Risk Review</w:t>
            </w:r>
          </w:p>
        </w:tc>
        <w:tc>
          <w:tcPr>
            <w:tcW w:type="dxa" w:w="1872"/>
            <w:shd w:fill="FFFFFF"/>
            <w:tcMar>
              <w:top w:w="40" w:type="dxa"/>
              <w:bottom w:w="40" w:type="dxa"/>
              <w:left w:w="60" w:type="dxa"/>
              <w:right w:w="60" w:type="dxa"/>
            </w:tcMar>
          </w:tcPr>
          <w:p>
            <w:pPr>
              <w:spacing w:before="20" w:after="20"/>
            </w:pPr>
            <w:r>
              <w:rPr>
                <w:rFonts w:ascii="Calibri" w:hAnsi="Calibri"/>
                <w:b w:val="0"/>
                <w:i w:val="0"/>
                <w:color w:val="1E293B"/>
                <w:sz w:val="18"/>
              </w:rPr>
              <w:t>Pulling CIBIL reports and manually interpreting credit history.</w:t>
            </w:r>
          </w:p>
        </w:tc>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12 – 24 Hours</w:t>
            </w:r>
          </w:p>
        </w:tc>
        <w:tc>
          <w:tcPr>
            <w:tcW w:type="dxa" w:w="1872"/>
            <w:shd w:fill="FFFFFF"/>
            <w:tcMar>
              <w:top w:w="40" w:type="dxa"/>
              <w:bottom w:w="40" w:type="dxa"/>
              <w:left w:w="60" w:type="dxa"/>
              <w:right w:w="60" w:type="dxa"/>
            </w:tcMar>
          </w:tcPr>
          <w:p>
            <w:pPr>
              <w:spacing w:before="20" w:after="20"/>
            </w:pPr>
            <w:r>
              <w:rPr>
                <w:rFonts w:ascii="Calibri" w:hAnsi="Calibri"/>
                <w:b w:val="0"/>
                <w:i w:val="0"/>
                <w:color w:val="1E293B"/>
                <w:sz w:val="18"/>
              </w:rPr>
              <w:t>Reliance on backward-looking bureau scores; lack of predictive ML default models.</w:t>
            </w:r>
          </w:p>
        </w:tc>
      </w:tr>
      <w:tr>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7</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Policy &amp; Circular Compliance</w:t>
            </w:r>
          </w:p>
        </w:tc>
        <w:tc>
          <w:tcPr>
            <w:tcW w:type="dxa" w:w="1872"/>
            <w:shd w:fill="F8FAFC"/>
            <w:tcMar>
              <w:top w:w="40" w:type="dxa"/>
              <w:bottom w:w="40" w:type="dxa"/>
              <w:left w:w="60" w:type="dxa"/>
              <w:right w:w="60" w:type="dxa"/>
            </w:tcMar>
          </w:tcPr>
          <w:p>
            <w:pPr>
              <w:spacing w:before="20" w:after="20"/>
            </w:pPr>
            <w:r>
              <w:rPr>
                <w:rFonts w:ascii="Calibri" w:hAnsi="Calibri"/>
                <w:b w:val="0"/>
                <w:i w:val="0"/>
                <w:color w:val="1E293B"/>
                <w:sz w:val="18"/>
              </w:rPr>
              <w:t>Searching RBI directions and bank circulars for LTV/pricing rules.</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24 – 48 Hours</w:t>
            </w:r>
          </w:p>
        </w:tc>
        <w:tc>
          <w:tcPr>
            <w:tcW w:type="dxa" w:w="1872"/>
            <w:shd w:fill="F8FAFC"/>
            <w:tcMar>
              <w:top w:w="40" w:type="dxa"/>
              <w:bottom w:w="40" w:type="dxa"/>
              <w:left w:w="60" w:type="dxa"/>
              <w:right w:w="60" w:type="dxa"/>
            </w:tcMar>
          </w:tcPr>
          <w:p>
            <w:pPr>
              <w:spacing w:before="20" w:after="20"/>
            </w:pPr>
            <w:r>
              <w:rPr>
                <w:rFonts w:ascii="Calibri" w:hAnsi="Calibri"/>
                <w:b w:val="0"/>
                <w:i w:val="0"/>
                <w:color w:val="1E293B"/>
                <w:sz w:val="18"/>
              </w:rPr>
              <w:t>Multi-volume policy circulars; outdated interest rate assignment.</w:t>
            </w:r>
          </w:p>
        </w:tc>
      </w:tr>
      <w:tr>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8</w:t>
            </w:r>
          </w:p>
        </w:tc>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Appraisal Memo (CAM) Drafting</w:t>
            </w:r>
          </w:p>
        </w:tc>
        <w:tc>
          <w:tcPr>
            <w:tcW w:type="dxa" w:w="1872"/>
            <w:shd w:fill="FFFFFF"/>
            <w:tcMar>
              <w:top w:w="40" w:type="dxa"/>
              <w:bottom w:w="40" w:type="dxa"/>
              <w:left w:w="60" w:type="dxa"/>
              <w:right w:w="60" w:type="dxa"/>
            </w:tcMar>
          </w:tcPr>
          <w:p>
            <w:pPr>
              <w:spacing w:before="20" w:after="20"/>
            </w:pPr>
            <w:r>
              <w:rPr>
                <w:rFonts w:ascii="Calibri" w:hAnsi="Calibri"/>
                <w:b w:val="0"/>
                <w:i w:val="0"/>
                <w:color w:val="1E293B"/>
                <w:sz w:val="18"/>
              </w:rPr>
              <w:t>Manually compiling the multi-page Credit Appraisal Memorandum.</w:t>
            </w:r>
          </w:p>
        </w:tc>
        <w:tc>
          <w:tcPr>
            <w:tcW w:type="dxa" w:w="1872"/>
            <w:shd w:fill="FFFFFF"/>
            <w:tcMar>
              <w:top w:w="40" w:type="dxa"/>
              <w:bottom w:w="40" w:type="dxa"/>
              <w:left w:w="60" w:type="dxa"/>
              <w:right w:w="60" w:type="dxa"/>
            </w:tcMar>
          </w:tcPr>
          <w:p>
            <w:pPr>
              <w:spacing w:before="20" w:after="20"/>
            </w:pPr>
            <w:r>
              <w:rPr>
                <w:rFonts w:ascii="Calibri" w:hAnsi="Calibri"/>
                <w:b/>
                <w:i w:val="0"/>
                <w:color w:val="1E293B"/>
                <w:sz w:val="18"/>
              </w:rPr>
              <w:t>24 – 48 Hours</w:t>
            </w:r>
          </w:p>
        </w:tc>
        <w:tc>
          <w:tcPr>
            <w:tcW w:type="dxa" w:w="1872"/>
            <w:shd w:fill="FFFFFF"/>
            <w:tcMar>
              <w:top w:w="40" w:type="dxa"/>
              <w:bottom w:w="40" w:type="dxa"/>
              <w:left w:w="60" w:type="dxa"/>
              <w:right w:w="60" w:type="dxa"/>
            </w:tcMar>
          </w:tcPr>
          <w:p>
            <w:pPr>
              <w:spacing w:before="20" w:after="20"/>
            </w:pPr>
            <w:r>
              <w:rPr>
                <w:rFonts w:ascii="Calibri" w:hAnsi="Calibri"/>
                <w:b w:val="0"/>
                <w:i w:val="0"/>
                <w:color w:val="1E293B"/>
                <w:sz w:val="18"/>
              </w:rPr>
              <w:t>Repetitive manual drafting; inconsistent executive summaries.</w:t>
            </w:r>
          </w:p>
        </w:tc>
      </w:tr>
      <w:tr>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TOTAL END-TO-END TAT</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Complete Underwriting Lifecycle (Submission to Decision)</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7 – 14 DAYS</w:t>
            </w:r>
          </w:p>
        </w:tc>
        <w:tc>
          <w:tcPr>
            <w:tcW w:type="dxa" w:w="1872"/>
            <w:shd w:fill="F8FAFC"/>
            <w:tcMar>
              <w:top w:w="40" w:type="dxa"/>
              <w:bottom w:w="40" w:type="dxa"/>
              <w:left w:w="60" w:type="dxa"/>
              <w:right w:w="60" w:type="dxa"/>
            </w:tcMar>
          </w:tcPr>
          <w:p>
            <w:pPr>
              <w:spacing w:before="20" w:after="20"/>
            </w:pPr>
            <w:r>
              <w:rPr>
                <w:rFonts w:ascii="Calibri" w:hAnsi="Calibri"/>
                <w:b/>
                <w:i w:val="0"/>
                <w:color w:val="1E293B"/>
                <w:sz w:val="18"/>
              </w:rPr>
              <w:t>High operational overhead, customer attrition &amp; compliance risk.</w:t>
            </w:r>
          </w:p>
        </w:tc>
      </w:tr>
    </w:tbl>
    <w:p>
      <w:pPr>
        <w:spacing w:before="0" w:after="160"/>
      </w:pP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 xml:space="preserve">                       MANUAL UNDERWRITING TIMELINE: 7 TO 14 BUSINESS DAYS</w:t>
              <w:br/>
              <w:t xml:space="preserve">                       </w:t>
              <w:br/>
              <w:t xml:space="preserve">  Day 1-2      Day 3-4      Day 5        Day 6-8          Day 9-10       Day 11-12     Day 13-14</w:t>
              <w:br/>
              <w:t xml:space="preserve"> ┌──────────┐ ┌──────────┐ ┌──────────┐ ┌──────────────┐ ┌────────────┐ ┌───────────┐ ┌──────────┐</w:t>
              <w:br/>
              <w:t xml:space="preserve"> │ Ingestion│ │ Document │ │ KYC &amp; ID │ │ Financial &amp;  │ │ Regulatory │ │ CAM Memo  │ │ Branch   │</w:t>
              <w:br/>
              <w:t xml:space="preserve"> │ &amp; PII    │ │ Parse    │ │ Check    │ │ Scorecards   │ │ Policy RAG │ │ Drafting  │ │ Sanction │</w:t>
              <w:br/>
              <w:t xml:space="preserve"> └──────────┘ └──────────┘ └──────────┘ └──────────────┘ └────────────┘ └───────────┘ └──────────┘</w:t>
            </w:r>
          </w:p>
        </w:tc>
      </w:tr>
    </w:tbl>
    <w:p>
      <w:pPr>
        <w:spacing w:before="0" w:after="120"/>
      </w:pPr>
    </w:p>
    <w:p>
      <w:pPr>
        <w:spacing w:before="200" w:after="60"/>
      </w:pPr>
      <w:r>
        <w:rPr>
          <w:rFonts w:ascii="Calibri" w:hAnsi="Calibri"/>
          <w:b/>
          <w:i w:val="0"/>
          <w:color w:val="003366"/>
          <w:sz w:val="24"/>
        </w:rPr>
        <w:t>Critical Vulnerabilities of the Manual Underwriting Process:</w:t>
      </w:r>
    </w:p>
    <w:p>
      <w:pPr>
        <w:spacing w:before="40" w:after="100"/>
      </w:pPr>
      <w:r>
        <w:rPr>
          <w:rFonts w:ascii="Calibri" w:hAnsi="Calibri"/>
          <w:b w:val="0"/>
          <w:i w:val="0"/>
          <w:color w:val="1E293B"/>
          <w:sz w:val="21"/>
        </w:rPr>
        <w:t xml:space="preserve">1. </w:t>
      </w:r>
      <w:r>
        <w:rPr>
          <w:rFonts w:ascii="Calibri" w:hAnsi="Calibri"/>
          <w:b/>
          <w:i w:val="0"/>
          <w:color w:val="1E293B"/>
          <w:sz w:val="21"/>
        </w:rPr>
        <w:t>Prolonged Turnaround Times (7 to 14 Days)</w:t>
      </w:r>
      <w:r>
        <w:rPr>
          <w:rFonts w:ascii="Calibri" w:hAnsi="Calibri"/>
          <w:b w:val="0"/>
          <w:i w:val="0"/>
          <w:color w:val="1E293B"/>
          <w:sz w:val="21"/>
        </w:rPr>
        <w:t>: Prolonged TAT severely impairs institutional competitiveness against agile private lenders and fintech platforms, causing borrower attrition among high-credit-quality applicants.</w:t>
      </w:r>
    </w:p>
    <w:p>
      <w:pPr>
        <w:spacing w:before="40" w:after="100"/>
      </w:pPr>
      <w:r>
        <w:rPr>
          <w:rFonts w:ascii="Calibri" w:hAnsi="Calibri"/>
          <w:b w:val="0"/>
          <w:i w:val="0"/>
          <w:color w:val="1E293B"/>
          <w:sz w:val="21"/>
        </w:rPr>
        <w:t xml:space="preserve">2. </w:t>
      </w:r>
      <w:r>
        <w:rPr>
          <w:rFonts w:ascii="Calibri" w:hAnsi="Calibri"/>
          <w:b/>
          <w:i w:val="0"/>
          <w:color w:val="1E293B"/>
          <w:sz w:val="21"/>
        </w:rPr>
        <w:t>Inadvertent Regulatory Breaches</w:t>
      </w:r>
      <w:r>
        <w:rPr>
          <w:rFonts w:ascii="Calibri" w:hAnsi="Calibri"/>
          <w:b w:val="0"/>
          <w:i w:val="0"/>
          <w:color w:val="1E293B"/>
          <w:sz w:val="21"/>
        </w:rPr>
        <w:t>: Manual calculation of Loan-to-Value (LTV) ratios against property valuation certificates risks inadvertent violation of statutory RBI caps (e.g., granting $&gt;80\%$ LTV for loans between ₹30 Lakhs and ₹75 Lakhs).</w:t>
      </w:r>
    </w:p>
    <w:p>
      <w:pPr>
        <w:spacing w:before="40" w:after="100"/>
      </w:pPr>
      <w:r>
        <w:rPr>
          <w:rFonts w:ascii="Calibri" w:hAnsi="Calibri"/>
          <w:b w:val="0"/>
          <w:i w:val="0"/>
          <w:color w:val="1E293B"/>
          <w:sz w:val="21"/>
        </w:rPr>
        <w:t xml:space="preserve">3. </w:t>
      </w:r>
      <w:r>
        <w:rPr>
          <w:rFonts w:ascii="Calibri" w:hAnsi="Calibri"/>
          <w:b/>
          <w:i w:val="0"/>
          <w:color w:val="1E293B"/>
          <w:sz w:val="21"/>
        </w:rPr>
        <w:t>Inconsistent MSME Scoring</w:t>
      </w:r>
      <w:r>
        <w:rPr>
          <w:rFonts w:ascii="Calibri" w:hAnsi="Calibri"/>
          <w:b w:val="0"/>
          <w:i w:val="0"/>
          <w:color w:val="1E293B"/>
          <w:sz w:val="21"/>
        </w:rPr>
        <w:t xml:space="preserve">: Manual calculation of the </w:t>
      </w:r>
      <w:r>
        <w:rPr>
          <w:rFonts w:ascii="Calibri" w:hAnsi="Calibri"/>
          <w:b/>
          <w:i w:val="0"/>
          <w:color w:val="1E293B"/>
          <w:sz w:val="21"/>
        </w:rPr>
        <w:t>13 parameters in Form MSE 1</w:t>
      </w:r>
      <w:r>
        <w:rPr>
          <w:rFonts w:ascii="Calibri" w:hAnsi="Calibri"/>
          <w:b w:val="0"/>
          <w:i w:val="0"/>
          <w:color w:val="1E293B"/>
          <w:sz w:val="21"/>
        </w:rPr>
        <w:t xml:space="preserve"> (for existing units) and </w:t>
      </w:r>
      <w:r>
        <w:rPr>
          <w:rFonts w:ascii="Calibri" w:hAnsi="Calibri"/>
          <w:b/>
          <w:i w:val="0"/>
          <w:color w:val="1E293B"/>
          <w:sz w:val="21"/>
        </w:rPr>
        <w:t>9 parameters in Form MSE II</w:t>
      </w:r>
      <w:r>
        <w:rPr>
          <w:rFonts w:ascii="Calibri" w:hAnsi="Calibri"/>
          <w:b w:val="0"/>
          <w:i w:val="0"/>
          <w:color w:val="1E293B"/>
          <w:sz w:val="21"/>
        </w:rPr>
        <w:t xml:space="preserve"> (for greenfield units) leads to scoring variance between different credit officers.</w:t>
      </w:r>
    </w:p>
    <w:p>
      <w:pPr>
        <w:spacing w:before="40" w:after="100"/>
      </w:pPr>
      <w:r>
        <w:rPr>
          <w:rFonts w:ascii="Calibri" w:hAnsi="Calibri"/>
          <w:b w:val="0"/>
          <w:i w:val="0"/>
          <w:color w:val="1E293B"/>
          <w:sz w:val="21"/>
        </w:rPr>
        <w:t xml:space="preserve">4. </w:t>
      </w:r>
      <w:r>
        <w:rPr>
          <w:rFonts w:ascii="Calibri" w:hAnsi="Calibri"/>
          <w:b/>
          <w:i w:val="0"/>
          <w:color w:val="1E293B"/>
          <w:sz w:val="21"/>
        </w:rPr>
        <w:t>Sub-Optimal Loan Pricing</w:t>
      </w:r>
      <w:r>
        <w:rPr>
          <w:rFonts w:ascii="Calibri" w:hAnsi="Calibri"/>
          <w:b w:val="0"/>
          <w:i w:val="0"/>
          <w:color w:val="1E293B"/>
          <w:sz w:val="21"/>
        </w:rPr>
        <w:t xml:space="preserve">: Inability to dynamically index interest rates to the latest </w:t>
      </w:r>
      <w:r>
        <w:rPr>
          <w:rFonts w:ascii="Calibri" w:hAnsi="Calibri"/>
          <w:b/>
          <w:i w:val="0"/>
          <w:color w:val="1E293B"/>
          <w:sz w:val="21"/>
        </w:rPr>
        <w:t>Repo-Based Lending Rate (RBLR)</w:t>
      </w:r>
      <w:r>
        <w:rPr>
          <w:rFonts w:ascii="Calibri" w:hAnsi="Calibri"/>
          <w:b w:val="0"/>
          <w:i w:val="0"/>
          <w:color w:val="1E293B"/>
          <w:sz w:val="21"/>
        </w:rPr>
        <w:t xml:space="preserve"> circulars and automatically factor in credit risk premiums and government guarantee concessions (e.g., </w:t>
      </w:r>
      <w:r>
        <w:rPr>
          <w:rFonts w:ascii="Calibri" w:hAnsi="Calibri"/>
          <w:b/>
          <w:i w:val="0"/>
          <w:color w:val="1E293B"/>
          <w:sz w:val="21"/>
        </w:rPr>
        <w:t>25 bps CGTMSE concession</w:t>
      </w:r>
      <w:r>
        <w:rPr>
          <w:rFonts w:ascii="Calibri" w:hAnsi="Calibri"/>
          <w:b w:val="0"/>
          <w:i w:val="0"/>
          <w:color w:val="1E293B"/>
          <w:sz w:val="21"/>
        </w:rPr>
        <w:t>).</w:t>
      </w:r>
    </w:p>
    <w:p>
      <w:pPr>
        <w:spacing w:before="40" w:after="100"/>
      </w:pPr>
      <w:r>
        <w:rPr>
          <w:rFonts w:ascii="Calibri" w:hAnsi="Calibri"/>
          <w:b w:val="0"/>
          <w:i w:val="0"/>
          <w:color w:val="1E293B"/>
          <w:sz w:val="21"/>
        </w:rPr>
        <w:t xml:space="preserve">5. </w:t>
      </w:r>
      <w:r>
        <w:rPr>
          <w:rFonts w:ascii="Calibri" w:hAnsi="Calibri"/>
          <w:b/>
          <w:i w:val="0"/>
          <w:color w:val="1E293B"/>
          <w:sz w:val="21"/>
        </w:rPr>
        <w:t>Lack of Forensic Distress Auditing</w:t>
      </w:r>
      <w:r>
        <w:rPr>
          <w:rFonts w:ascii="Calibri" w:hAnsi="Calibri"/>
          <w:b w:val="0"/>
          <w:i w:val="0"/>
          <w:color w:val="1E293B"/>
          <w:sz w:val="21"/>
        </w:rPr>
        <w:t xml:space="preserve">: Standard branch underwriting rarely evaluates mathematical forensic indicators such as the </w:t>
      </w:r>
      <w:r>
        <w:rPr>
          <w:rFonts w:ascii="Calibri" w:hAnsi="Calibri"/>
          <w:b/>
          <w:i w:val="0"/>
          <w:color w:val="1E293B"/>
          <w:sz w:val="21"/>
        </w:rPr>
        <w:t>Emerging Market Altman Z''-Score</w:t>
      </w:r>
      <w:r>
        <w:rPr>
          <w:rFonts w:ascii="Calibri" w:hAnsi="Calibri"/>
          <w:b w:val="0"/>
          <w:i w:val="0"/>
          <w:color w:val="1E293B"/>
          <w:sz w:val="21"/>
        </w:rPr>
        <w:t xml:space="preserve"> or </w:t>
      </w:r>
      <w:r>
        <w:rPr>
          <w:rFonts w:ascii="Calibri" w:hAnsi="Calibri"/>
          <w:b/>
          <w:i w:val="0"/>
          <w:color w:val="1E293B"/>
          <w:sz w:val="21"/>
        </w:rPr>
        <w:t>Beneish M-Score</w:t>
      </w:r>
      <w:r>
        <w:rPr>
          <w:rFonts w:ascii="Calibri" w:hAnsi="Calibri"/>
          <w:b w:val="0"/>
          <w:i w:val="0"/>
          <w:color w:val="1E293B"/>
          <w:sz w:val="21"/>
        </w:rPr>
        <w:t>, leaving the bank vulnerable to fraudulent financial reporting and incipient bankruptcy distress.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pPr>
        <w:spacing w:before="240" w:after="80"/>
      </w:pPr>
      <w:r>
        <w:rPr>
          <w:rFonts w:ascii="Calibri" w:hAnsi="Calibri"/>
          <w:b/>
          <w:i w:val="0"/>
          <w:color w:val="003366"/>
          <w:sz w:val="27"/>
        </w:rPr>
        <w:t>1.4 🎯 Objectives and Scope of the Intelligent Loan Appraisal System (ILAS)</w:t>
      </w:r>
    </w:p>
    <w:p>
      <w:pPr>
        <w:spacing w:before="40" w:after="100"/>
      </w:pPr>
      <w:r>
        <w:rPr>
          <w:rFonts w:ascii="Calibri" w:hAnsi="Calibri"/>
          <w:b w:val="0"/>
          <w:i w:val="0"/>
          <w:color w:val="1E293B"/>
          <w:sz w:val="21"/>
        </w:rPr>
        <w:t xml:space="preserve">To overcome these structural challenges, the </w:t>
      </w:r>
      <w:r>
        <w:rPr>
          <w:rFonts w:ascii="Calibri" w:hAnsi="Calibri"/>
          <w:b/>
          <w:i w:val="0"/>
          <w:color w:val="1E293B"/>
          <w:sz w:val="21"/>
        </w:rPr>
        <w:t>Intelligent Loan Appraisal System (ILAS)</w:t>
      </w:r>
      <w:r>
        <w:rPr>
          <w:rFonts w:ascii="Calibri" w:hAnsi="Calibri"/>
          <w:b w:val="0"/>
          <w:i w:val="0"/>
          <w:color w:val="1E293B"/>
          <w:sz w:val="21"/>
        </w:rPr>
        <w:t xml:space="preserve"> was designed, engineered, and validated during this 8-week professional internship at the </w:t>
      </w:r>
      <w:r>
        <w:rPr>
          <w:rFonts w:ascii="Calibri" w:hAnsi="Calibri"/>
          <w:b/>
          <w:i w:val="0"/>
          <w:color w:val="1E293B"/>
          <w:sz w:val="21"/>
        </w:rPr>
        <w:t>Central Bank of India, Regional Office, Visakhapatnam</w:t>
      </w:r>
      <w:r>
        <w:rPr>
          <w:rFonts w:ascii="Calibri" w:hAnsi="Calibri"/>
          <w:b w:val="0"/>
          <w:i w:val="0"/>
          <w:color w:val="1E293B"/>
          <w:sz w:val="21"/>
        </w:rPr>
        <w:t>.</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 xml:space="preserve">                                  ILAS SYSTEM DESIGN OBJECTIVES</w:t>
              <w:br/>
              <w:t xml:space="preserve">                                  </w:t>
              <w:br/>
              <w:t xml:space="preserve">  ┌───────────────────────────┐   ┌───────────────────────────┐   ┌───────────────────────────┐</w:t>
              <w:br/>
              <w:t xml:space="preserve">  │   ⚡ Operational TAT      │   │  ⚖️ Regulatory Fidelity   │   │  🧠 Explainable AI (XAI)  │</w:t>
              <w:br/>
              <w:t xml:space="preserve">  │ Reduce underwriting TAT   │   │ 100% adherence to RBI &amp;   │   │ Predictive default models │</w:t>
              <w:br/>
              <w:t xml:space="preserve">  │ from 14 days to &lt; 45 secs │   │ Central Bank guidelines   │   │ with SHAP factor analysis │</w:t>
              <w:br/>
              <w:t xml:space="preserve">  └───────────────────────────┘   └───────────────────────────┘   └───────────────────────────┘</w:t>
              <w:br/>
              <w:t xml:space="preserve">                                                │</w:t>
              <w:br/>
              <w:t xml:space="preserve">                                                ▼</w:t>
              <w:br/>
              <w:t xml:space="preserve">  ┌───────────────────────────┐   ┌───────────────────────────┐   ┌───────────────────────────┐</w:t>
              <w:br/>
              <w:t xml:space="preserve">  │  🏢 Corporate Intelligence│   │  🛡️ Zero Auto-Sanction    │   │  📄 Publication Memos     │</w:t>
              <w:br/>
              <w:t xml:space="preserve">  │ CMA Spreading, MPBF,      │   │ Mandatory Human-in-the-   │   │ Automated bilingual CAM   │</w:t>
              <w:br/>
              <w:t xml:space="preserve">  │ Altman Z'', Beneish M-Sc. │   │ Loop (HITL) manager gate  │   │ in Word (.docx) format    │</w:t>
              <w:br/>
              <w:t xml:space="preserve">  └───────────────────────────┘   └───────────────────────────┘   └───────────────────────────┘</w:t>
            </w:r>
          </w:p>
        </w:tc>
      </w:tr>
    </w:tbl>
    <w:p>
      <w:pPr>
        <w:spacing w:before="0" w:after="120"/>
      </w:pPr>
    </w:p>
    <w:p>
      <w:pPr>
        <w:spacing w:before="200" w:after="60"/>
      </w:pPr>
      <w:r>
        <w:rPr>
          <w:rFonts w:ascii="Calibri" w:hAnsi="Calibri"/>
          <w:b/>
          <w:i w:val="0"/>
          <w:color w:val="003366"/>
          <w:sz w:val="24"/>
        </w:rPr>
        <w:t>Primary Objective:</w:t>
      </w:r>
    </w:p>
    <w:p>
      <w:pPr>
        <w:spacing w:before="40" w:after="100"/>
      </w:pPr>
      <w:r>
        <w:rPr>
          <w:rFonts w:ascii="Calibri" w:hAnsi="Calibri"/>
          <w:b w:val="0"/>
          <w:i w:val="0"/>
          <w:color w:val="1E293B"/>
          <w:sz w:val="21"/>
        </w:rPr>
        <w:t xml:space="preserve">To engineer an autonomous, institutional-grade, multi-agent AI credit underwriting platform that automates the end-to-end loan appraisal lifecycle for Retail and MSME advances, compressing Turnaround Time from </w:t>
      </w:r>
      <w:r>
        <w:rPr>
          <w:rFonts w:ascii="Calibri" w:hAnsi="Calibri"/>
          <w:b/>
          <w:i w:val="0"/>
          <w:color w:val="1E293B"/>
          <w:sz w:val="21"/>
        </w:rPr>
        <w:t>7–14 days to under 45 seconds</w:t>
      </w:r>
      <w:r>
        <w:rPr>
          <w:rFonts w:ascii="Calibri" w:hAnsi="Calibri"/>
          <w:b w:val="0"/>
          <w:i w:val="0"/>
          <w:color w:val="1E293B"/>
          <w:sz w:val="21"/>
        </w:rPr>
        <w:t xml:space="preserve"> while ensuring 100% regulatory compliance, zero token expenditure on mathematical computations, explainable machine learning risk predictions, and strict Human-in-the-Loop governance.</w:t>
      </w:r>
    </w:p>
    <w:p>
      <w:pPr>
        <w:spacing w:before="200" w:after="60"/>
      </w:pPr>
      <w:r>
        <w:rPr>
          <w:rFonts w:ascii="Calibri" w:hAnsi="Calibri"/>
          <w:b/>
          <w:i w:val="0"/>
          <w:color w:val="003366"/>
          <w:sz w:val="24"/>
        </w:rPr>
        <w:t>Key Functional &amp; Technical Objectives:</w:t>
      </w:r>
    </w:p>
    <w:p>
      <w:pPr>
        <w:spacing w:before="40" w:after="100"/>
      </w:pPr>
      <w:r>
        <w:rPr>
          <w:rFonts w:ascii="Calibri" w:hAnsi="Calibri"/>
          <w:b w:val="0"/>
          <w:i w:val="0"/>
          <w:color w:val="1E293B"/>
          <w:sz w:val="21"/>
        </w:rPr>
        <w:t xml:space="preserve">1. </w:t>
      </w:r>
      <w:r>
        <w:rPr>
          <w:rFonts w:ascii="Calibri" w:hAnsi="Calibri"/>
          <w:b/>
          <w:i w:val="0"/>
          <w:color w:val="1E293B"/>
          <w:sz w:val="21"/>
        </w:rPr>
        <w:t>Multi-Agent Orchestration</w:t>
      </w:r>
      <w:r>
        <w:rPr>
          <w:rFonts w:ascii="Calibri" w:hAnsi="Calibri"/>
          <w:b w:val="0"/>
          <w:i w:val="0"/>
          <w:color w:val="1E293B"/>
          <w:sz w:val="21"/>
        </w:rPr>
        <w:t xml:space="preserve">: Design and deploy a deterministic 11-node state machine using </w:t>
      </w:r>
      <w:r>
        <w:rPr>
          <w:rFonts w:ascii="Calibri" w:hAnsi="Calibri"/>
          <w:b/>
          <w:i w:val="0"/>
          <w:color w:val="1E293B"/>
          <w:sz w:val="21"/>
        </w:rPr>
        <w:t>LangGraph</w:t>
      </w:r>
      <w:r>
        <w:rPr>
          <w:rFonts w:ascii="Calibri" w:hAnsi="Calibri"/>
          <w:b w:val="0"/>
          <w:i w:val="0"/>
          <w:color w:val="1E293B"/>
          <w:sz w:val="21"/>
        </w:rPr>
        <w:t xml:space="preserve"> to execute distinct underwriting functions in a modular, auditable pipeline.</w:t>
      </w:r>
    </w:p>
    <w:p>
      <w:pPr>
        <w:spacing w:before="40" w:after="100"/>
      </w:pPr>
      <w:r>
        <w:rPr>
          <w:rFonts w:ascii="Calibri" w:hAnsi="Calibri"/>
          <w:b w:val="0"/>
          <w:i w:val="0"/>
          <w:color w:val="1E293B"/>
          <w:sz w:val="21"/>
        </w:rPr>
        <w:t xml:space="preserve">2. </w:t>
      </w:r>
      <w:r>
        <w:rPr>
          <w:rFonts w:ascii="Calibri" w:hAnsi="Calibri"/>
          <w:b/>
          <w:i w:val="0"/>
          <w:color w:val="1E293B"/>
          <w:sz w:val="21"/>
        </w:rPr>
        <w:t>DPDP Act 2023 Compliance</w:t>
      </w:r>
      <w:r>
        <w:rPr>
          <w:rFonts w:ascii="Calibri" w:hAnsi="Calibri"/>
          <w:b w:val="0"/>
          <w:i w:val="0"/>
          <w:color w:val="1E293B"/>
          <w:sz w:val="21"/>
        </w:rPr>
        <w:t xml:space="preserve">: Implement a dedicated </w:t>
      </w:r>
      <w:r>
        <w:rPr>
          <w:rFonts w:ascii="Calibri" w:hAnsi="Calibri"/>
          <w:b w:val="0"/>
          <w:i/>
          <w:color w:val="1E293B"/>
          <w:sz w:val="21"/>
        </w:rPr>
        <w:t>Customer Agent</w:t>
      </w:r>
      <w:r>
        <w:rPr>
          <w:rFonts w:ascii="Calibri" w:hAnsi="Calibri"/>
          <w:b w:val="0"/>
          <w:i w:val="0"/>
          <w:color w:val="1E293B"/>
          <w:sz w:val="21"/>
        </w:rPr>
        <w:t xml:space="preserve"> that applies cryptographic SHA-256 token masking to all Personally Identifiable Information (PII) before state propagation.</w:t>
      </w:r>
    </w:p>
    <w:p>
      <w:pPr>
        <w:spacing w:before="40" w:after="100"/>
      </w:pPr>
      <w:r>
        <w:rPr>
          <w:rFonts w:ascii="Calibri" w:hAnsi="Calibri"/>
          <w:b w:val="0"/>
          <w:i w:val="0"/>
          <w:color w:val="1E293B"/>
          <w:sz w:val="21"/>
        </w:rPr>
        <w:t xml:space="preserve">3. </w:t>
      </w:r>
      <w:r>
        <w:rPr>
          <w:rFonts w:ascii="Calibri" w:hAnsi="Calibri"/>
          <w:b/>
          <w:i w:val="0"/>
          <w:color w:val="1E293B"/>
          <w:sz w:val="21"/>
        </w:rPr>
        <w:t>Universal Document Ingestion</w:t>
      </w:r>
      <w:r>
        <w:rPr>
          <w:rFonts w:ascii="Calibri" w:hAnsi="Calibri"/>
          <w:b w:val="0"/>
          <w:i w:val="0"/>
          <w:color w:val="1E293B"/>
          <w:sz w:val="21"/>
        </w:rPr>
        <w:t>: Construct a multi-format document parser capable of ingesting PDF, DOCX, XLSX, CSV, JSON, and scanned physical documents via Deep Learning Optical Character Recognition (</w:t>
      </w:r>
      <w:r>
        <w:rPr>
          <w:rFonts w:ascii="Calibri" w:hAnsi="Calibri"/>
          <w:b/>
          <w:i w:val="0"/>
          <w:color w:val="1E293B"/>
          <w:sz w:val="21"/>
        </w:rPr>
        <w:t>EasyOCR</w:t>
      </w:r>
      <w:r>
        <w:rPr>
          <w:rFonts w:ascii="Calibri" w:hAnsi="Calibri"/>
          <w:b w:val="0"/>
          <w:i w:val="0"/>
          <w:color w:val="1E293B"/>
          <w:sz w:val="21"/>
        </w:rPr>
        <w:t>) with fuzzy ontology synonym mapping (</w:t>
      </w:r>
      <w:r>
        <w:rPr>
          <w:rFonts w:ascii="Consolas" w:hAnsi="Consolas"/>
          <w:b/>
          <w:color w:val="003366"/>
          <w:sz w:val="19"/>
        </w:rPr>
        <w:t>METRIC_ALIASES</w:t>
      </w:r>
      <w:r>
        <w:rPr>
          <w:rFonts w:ascii="Calibri" w:hAnsi="Calibri"/>
          <w:b w:val="0"/>
          <w:i w:val="0"/>
          <w:color w:val="1E293B"/>
          <w:sz w:val="21"/>
        </w:rPr>
        <w:t>).</w:t>
      </w:r>
    </w:p>
    <w:p>
      <w:pPr>
        <w:spacing w:before="40" w:after="100"/>
      </w:pPr>
      <w:r>
        <w:rPr>
          <w:rFonts w:ascii="Calibri" w:hAnsi="Calibri"/>
          <w:b w:val="0"/>
          <w:i w:val="0"/>
          <w:color w:val="1E293B"/>
          <w:sz w:val="21"/>
        </w:rPr>
        <w:t xml:space="preserve">4. </w:t>
      </w:r>
      <w:r>
        <w:rPr>
          <w:rFonts w:ascii="Calibri" w:hAnsi="Calibri"/>
          <w:b/>
          <w:i w:val="0"/>
          <w:color w:val="1E293B"/>
          <w:sz w:val="21"/>
        </w:rPr>
        <w:t>Official Central Bank MSME Scoring</w:t>
      </w:r>
      <w:r>
        <w:rPr>
          <w:rFonts w:ascii="Calibri" w:hAnsi="Calibri"/>
          <w:b w:val="0"/>
          <w:i w:val="0"/>
          <w:color w:val="1E293B"/>
          <w:sz w:val="21"/>
        </w:rPr>
        <w:t xml:space="preserve">: Programmatically implement the official </w:t>
      </w:r>
      <w:r>
        <w:rPr>
          <w:rFonts w:ascii="Calibri" w:hAnsi="Calibri"/>
          <w:b/>
          <w:i w:val="0"/>
          <w:color w:val="1E293B"/>
          <w:sz w:val="21"/>
        </w:rPr>
        <w:t>Form MSE 1 (13 parameters)</w:t>
      </w:r>
      <w:r>
        <w:rPr>
          <w:rFonts w:ascii="Calibri" w:hAnsi="Calibri"/>
          <w:b w:val="0"/>
          <w:i w:val="0"/>
          <w:color w:val="1E293B"/>
          <w:sz w:val="21"/>
        </w:rPr>
        <w:t xml:space="preserve"> and </w:t>
      </w:r>
      <w:r>
        <w:rPr>
          <w:rFonts w:ascii="Calibri" w:hAnsi="Calibri"/>
          <w:b/>
          <w:i w:val="0"/>
          <w:color w:val="1E293B"/>
          <w:sz w:val="21"/>
        </w:rPr>
        <w:t>Form MSE II (9 parameters)</w:t>
      </w:r>
      <w:r>
        <w:rPr>
          <w:rFonts w:ascii="Calibri" w:hAnsi="Calibri"/>
          <w:b w:val="0"/>
          <w:i w:val="0"/>
          <w:color w:val="1E293B"/>
          <w:sz w:val="21"/>
        </w:rPr>
        <w:t xml:space="preserve"> credit rating scorecards, mapping borrower scores to the </w:t>
      </w:r>
      <w:r>
        <w:rPr>
          <w:rFonts w:ascii="Calibri" w:hAnsi="Calibri"/>
          <w:b/>
          <w:i w:val="0"/>
          <w:color w:val="1E293B"/>
          <w:sz w:val="21"/>
        </w:rPr>
        <w:t>10-Tier Central Bank Risk Rating Grid (`CBI 1` to `CBI 10`)</w:t>
      </w:r>
      <w:r>
        <w:rPr>
          <w:rFonts w:ascii="Calibri" w:hAnsi="Calibri"/>
          <w:b w:val="0"/>
          <w:i w:val="0"/>
          <w:color w:val="1E293B"/>
          <w:sz w:val="21"/>
        </w:rPr>
        <w:t xml:space="preserve"> and enforcing the statutory </w:t>
      </w:r>
      <w:r>
        <w:rPr>
          <w:rFonts w:ascii="Calibri" w:hAnsi="Calibri"/>
          <w:b/>
          <w:i w:val="0"/>
          <w:color w:val="1E293B"/>
          <w:sz w:val="21"/>
        </w:rPr>
        <w:t>50-Mark Hurdle Rate</w:t>
      </w:r>
      <w:r>
        <w:rPr>
          <w:rFonts w:ascii="Calibri" w:hAnsi="Calibri"/>
          <w:b w:val="0"/>
          <w:i w:val="0"/>
          <w:color w:val="1E293B"/>
          <w:sz w:val="21"/>
        </w:rPr>
        <w:t xml:space="preserve"> and </w:t>
      </w:r>
      <w:r>
        <w:rPr>
          <w:rFonts w:ascii="Calibri" w:hAnsi="Calibri"/>
          <w:b/>
          <w:i w:val="0"/>
          <w:color w:val="1E293B"/>
          <w:sz w:val="21"/>
        </w:rPr>
        <w:t>Defaulter Override Rule</w:t>
      </w:r>
      <w:r>
        <w:rPr>
          <w:rFonts w:ascii="Calibri" w:hAnsi="Calibri"/>
          <w:b w:val="0"/>
          <w:i w:val="0"/>
          <w:color w:val="1E293B"/>
          <w:sz w:val="21"/>
        </w:rPr>
        <w:t>.</w:t>
      </w:r>
    </w:p>
    <w:p>
      <w:pPr>
        <w:spacing w:before="40" w:after="100"/>
      </w:pPr>
      <w:r>
        <w:rPr>
          <w:rFonts w:ascii="Calibri" w:hAnsi="Calibri"/>
          <w:b w:val="0"/>
          <w:i w:val="0"/>
          <w:color w:val="1E293B"/>
          <w:sz w:val="21"/>
        </w:rPr>
        <w:t xml:space="preserve">5. </w:t>
      </w:r>
      <w:r>
        <w:rPr>
          <w:rFonts w:ascii="Calibri" w:hAnsi="Calibri"/>
          <w:b/>
          <w:i w:val="0"/>
          <w:color w:val="1E293B"/>
          <w:sz w:val="21"/>
        </w:rPr>
        <w:t>Dynamic 2026 RBLR Pricing Engine</w:t>
      </w:r>
      <w:r>
        <w:rPr>
          <w:rFonts w:ascii="Calibri" w:hAnsi="Calibri"/>
          <w:b w:val="0"/>
          <w:i w:val="0"/>
          <w:color w:val="1E293B"/>
          <w:sz w:val="21"/>
        </w:rPr>
        <w:t xml:space="preserve">: Automate interest rate assignment strictly pegged to the Central Bank of India's </w:t>
      </w:r>
      <w:r>
        <w:rPr>
          <w:rFonts w:ascii="Calibri" w:hAnsi="Calibri"/>
          <w:b/>
          <w:i w:val="0"/>
          <w:color w:val="1E293B"/>
          <w:sz w:val="21"/>
        </w:rPr>
        <w:t>Master Circular on Rate of Interest dated 01.07.2026</w:t>
      </w:r>
      <w:r>
        <w:rPr>
          <w:rFonts w:ascii="Calibri" w:hAnsi="Calibri"/>
          <w:b w:val="0"/>
          <w:i w:val="0"/>
          <w:color w:val="1E293B"/>
          <w:sz w:val="21"/>
        </w:rPr>
        <w:t xml:space="preserve"> (Base RBLR @ 8.25% + Credit Risk Premium + Business Strategy Premium - CGTMSE concession).</w:t>
      </w:r>
    </w:p>
    <w:p>
      <w:pPr>
        <w:spacing w:before="40" w:after="100"/>
      </w:pPr>
      <w:r>
        <w:rPr>
          <w:rFonts w:ascii="Calibri" w:hAnsi="Calibri"/>
          <w:b w:val="0"/>
          <w:i w:val="0"/>
          <w:color w:val="1E293B"/>
          <w:sz w:val="21"/>
        </w:rPr>
        <w:t xml:space="preserve">6. </w:t>
      </w:r>
      <w:r>
        <w:rPr>
          <w:rFonts w:ascii="Calibri" w:hAnsi="Calibri"/>
          <w:b/>
          <w:i w:val="0"/>
          <w:color w:val="1E293B"/>
          <w:sz w:val="21"/>
        </w:rPr>
        <w:t>Predictive Machine Learning Risk Assessment</w:t>
      </w:r>
      <w:r>
        <w:rPr>
          <w:rFonts w:ascii="Calibri" w:hAnsi="Calibri"/>
          <w:b w:val="0"/>
          <w:i w:val="0"/>
          <w:color w:val="1E293B"/>
          <w:sz w:val="21"/>
        </w:rPr>
        <w:t xml:space="preserve">: Train and integrate an </w:t>
      </w:r>
      <w:r>
        <w:rPr>
          <w:rFonts w:ascii="Calibri" w:hAnsi="Calibri"/>
          <w:b/>
          <w:i w:val="0"/>
          <w:color w:val="1E293B"/>
          <w:sz w:val="21"/>
        </w:rPr>
        <w:t>XGBoost Credit Default Classifier</w:t>
      </w:r>
      <w:r>
        <w:rPr>
          <w:rFonts w:ascii="Calibri" w:hAnsi="Calibri"/>
          <w:b w:val="0"/>
          <w:i w:val="0"/>
          <w:color w:val="1E293B"/>
          <w:sz w:val="21"/>
        </w:rPr>
        <w:t xml:space="preserve"> calibrated over 23 financial and behavioral features, paired with </w:t>
      </w:r>
      <w:r>
        <w:rPr>
          <w:rFonts w:ascii="Calibri" w:hAnsi="Calibri"/>
          <w:b/>
          <w:i w:val="0"/>
          <w:color w:val="1E293B"/>
          <w:sz w:val="21"/>
        </w:rPr>
        <w:t>Shapley Additive exPlanations (SHAP)</w:t>
      </w:r>
      <w:r>
        <w:rPr>
          <w:rFonts w:ascii="Calibri" w:hAnsi="Calibri"/>
          <w:b w:val="0"/>
          <w:i w:val="0"/>
          <w:color w:val="1E293B"/>
          <w:sz w:val="21"/>
        </w:rPr>
        <w:t xml:space="preserve"> to deliver local, transparent risk driver attributions.</w:t>
      </w:r>
    </w:p>
    <w:p>
      <w:pPr>
        <w:spacing w:before="40" w:after="100"/>
      </w:pPr>
      <w:r>
        <w:rPr>
          <w:rFonts w:ascii="Calibri" w:hAnsi="Calibri"/>
          <w:b w:val="0"/>
          <w:i w:val="0"/>
          <w:color w:val="1E293B"/>
          <w:sz w:val="21"/>
        </w:rPr>
        <w:t xml:space="preserve">7. </w:t>
      </w:r>
      <w:r>
        <w:rPr>
          <w:rFonts w:ascii="Calibri" w:hAnsi="Calibri"/>
          <w:b/>
          <w:i w:val="0"/>
          <w:color w:val="1E293B"/>
          <w:sz w:val="21"/>
        </w:rPr>
        <w:t>Hybrid RAG Regulatory Intelligence</w:t>
      </w:r>
      <w:r>
        <w:rPr>
          <w:rFonts w:ascii="Calibri" w:hAnsi="Calibri"/>
          <w:b w:val="0"/>
          <w:i w:val="0"/>
          <w:color w:val="1E293B"/>
          <w:sz w:val="21"/>
        </w:rPr>
        <w:t xml:space="preserve">: Implement a </w:t>
      </w:r>
      <w:r>
        <w:rPr>
          <w:rFonts w:ascii="Calibri" w:hAnsi="Calibri"/>
          <w:b/>
          <w:i w:val="0"/>
          <w:color w:val="1E293B"/>
          <w:sz w:val="21"/>
        </w:rPr>
        <w:t>Graph-Agentic Hybrid RAG (GAHR-MSR)</w:t>
      </w:r>
      <w:r>
        <w:rPr>
          <w:rFonts w:ascii="Calibri" w:hAnsi="Calibri"/>
          <w:b w:val="0"/>
          <w:i w:val="0"/>
          <w:color w:val="1E293B"/>
          <w:sz w:val="21"/>
        </w:rPr>
        <w:t xml:space="preserve"> engine combining dense 3072-dimensional vector similarity in PostgreSQL (</w:t>
      </w:r>
      <w:r>
        <w:rPr>
          <w:rFonts w:ascii="Consolas" w:hAnsi="Consolas"/>
          <w:b/>
          <w:color w:val="003366"/>
          <w:sz w:val="19"/>
        </w:rPr>
        <w:t>pgvector</w:t>
      </w:r>
      <w:r>
        <w:rPr>
          <w:rFonts w:ascii="Calibri" w:hAnsi="Calibri"/>
          <w:b w:val="0"/>
          <w:i w:val="0"/>
          <w:color w:val="1E293B"/>
          <w:sz w:val="21"/>
        </w:rPr>
        <w:t>) with sparse BM25 full-text search (</w:t>
      </w:r>
      <w:r>
        <w:rPr>
          <w:rFonts w:ascii="Consolas" w:hAnsi="Consolas"/>
          <w:b/>
          <w:color w:val="003366"/>
          <w:sz w:val="19"/>
        </w:rPr>
        <w:t>tsvector</w:t>
      </w:r>
      <w:r>
        <w:rPr>
          <w:rFonts w:ascii="Calibri" w:hAnsi="Calibri"/>
          <w:b w:val="0"/>
          <w:i w:val="0"/>
          <w:color w:val="1E293B"/>
          <w:sz w:val="21"/>
        </w:rPr>
        <w:t>), merged via Reciprocal Rank Fusion (RRF) and re-ranked using a Cross-Encoder.</w:t>
      </w:r>
    </w:p>
    <w:p>
      <w:pPr>
        <w:spacing w:before="40" w:after="100"/>
      </w:pPr>
      <w:r>
        <w:rPr>
          <w:rFonts w:ascii="Calibri" w:hAnsi="Calibri"/>
          <w:b w:val="0"/>
          <w:i w:val="0"/>
          <w:color w:val="1E293B"/>
          <w:sz w:val="21"/>
        </w:rPr>
        <w:t xml:space="preserve">8. </w:t>
      </w:r>
      <w:r>
        <w:rPr>
          <w:rFonts w:ascii="Calibri" w:hAnsi="Calibri"/>
          <w:b/>
          <w:i w:val="0"/>
          <w:color w:val="1E293B"/>
          <w:sz w:val="21"/>
        </w:rPr>
        <w:t>Corporate Financial Intelligence &amp; Forensics</w:t>
      </w:r>
      <w:r>
        <w:rPr>
          <w:rFonts w:ascii="Calibri" w:hAnsi="Calibri"/>
          <w:b w:val="0"/>
          <w:i w:val="0"/>
          <w:color w:val="1E293B"/>
          <w:sz w:val="21"/>
        </w:rPr>
        <w:t>: Engineer an advanced corporate underwriting suite featuring 3-Year CMA financial spreading, 5-Pillar diagnostics, Tandon Methods I &amp; II / Nayak MPBF sizing, Emerging Market Altman Z''-Score distress forecasting, Beneish M-Score earnings manipulation auditing, 3-Year Macro Stress simulation, and Discounted Cash Flow (DCF) valuation.</w:t>
      </w:r>
    </w:p>
    <w:p>
      <w:pPr>
        <w:spacing w:before="40" w:after="100"/>
      </w:pPr>
      <w:r>
        <w:rPr>
          <w:rFonts w:ascii="Calibri" w:hAnsi="Calibri"/>
          <w:b w:val="0"/>
          <w:i w:val="0"/>
          <w:color w:val="1E293B"/>
          <w:sz w:val="21"/>
        </w:rPr>
        <w:t xml:space="preserve">9. </w:t>
      </w:r>
      <w:r>
        <w:rPr>
          <w:rFonts w:ascii="Calibri" w:hAnsi="Calibri"/>
          <w:b/>
          <w:i w:val="0"/>
          <w:color w:val="1E293B"/>
          <w:sz w:val="21"/>
        </w:rPr>
        <w:t>Human-in-the-Loop (HITL) Governance</w:t>
      </w:r>
      <w:r>
        <w:rPr>
          <w:rFonts w:ascii="Calibri" w:hAnsi="Calibri"/>
          <w:b w:val="0"/>
          <w:i w:val="0"/>
          <w:color w:val="1E293B"/>
          <w:sz w:val="21"/>
        </w:rPr>
        <w:t xml:space="preserve">: Enforce a strict </w:t>
      </w:r>
      <w:r>
        <w:rPr>
          <w:rFonts w:ascii="Calibri" w:hAnsi="Calibri"/>
          <w:b/>
          <w:i w:val="0"/>
          <w:color w:val="1E293B"/>
          <w:sz w:val="21"/>
        </w:rPr>
        <w:t>Zero Auto-Sanction Policy</w:t>
      </w:r>
      <w:r>
        <w:rPr>
          <w:rFonts w:ascii="Calibri" w:hAnsi="Calibri"/>
          <w:b w:val="0"/>
          <w:i w:val="0"/>
          <w:color w:val="1E293B"/>
          <w:sz w:val="21"/>
        </w:rPr>
        <w:t xml:space="preserve">, ensuring every application pauses at </w:t>
      </w:r>
      <w:r>
        <w:rPr>
          <w:rFonts w:ascii="Consolas" w:hAnsi="Consolas"/>
          <w:b/>
          <w:color w:val="003366"/>
          <w:sz w:val="19"/>
        </w:rPr>
        <w:t>WAITING_FOR_MANAGER</w:t>
      </w:r>
      <w:r>
        <w:rPr>
          <w:rFonts w:ascii="Calibri" w:hAnsi="Calibri"/>
          <w:b w:val="0"/>
          <w:i w:val="0"/>
          <w:color w:val="1E293B"/>
          <w:sz w:val="21"/>
        </w:rPr>
        <w:t xml:space="preserve"> via PostgreSQL state interruption (</w:t>
      </w:r>
      <w:r>
        <w:rPr>
          <w:rFonts w:ascii="Consolas" w:hAnsi="Consolas"/>
          <w:b/>
          <w:color w:val="003366"/>
          <w:sz w:val="19"/>
        </w:rPr>
        <w:t>interrupt()</w:t>
      </w:r>
      <w:r>
        <w:rPr>
          <w:rFonts w:ascii="Calibri" w:hAnsi="Calibri"/>
          <w:b w:val="0"/>
          <w:i w:val="0"/>
          <w:color w:val="1E293B"/>
          <w:sz w:val="21"/>
        </w:rPr>
        <w:t>), requiring authenticated Credit Manager sign-off or justification logging for discretionary overrides.</w:t>
      </w:r>
    </w:p>
    <w:p>
      <w:pPr>
        <w:spacing w:before="40" w:after="100"/>
      </w:pPr>
      <w:r>
        <w:rPr>
          <w:rFonts w:ascii="Calibri" w:hAnsi="Calibri"/>
          <w:b w:val="0"/>
          <w:i w:val="0"/>
          <w:color w:val="1E293B"/>
          <w:sz w:val="21"/>
        </w:rPr>
        <w:t xml:space="preserve">10. </w:t>
      </w:r>
      <w:r>
        <w:rPr>
          <w:rFonts w:ascii="Calibri" w:hAnsi="Calibri"/>
          <w:b/>
          <w:i w:val="0"/>
          <w:color w:val="1E293B"/>
          <w:sz w:val="21"/>
        </w:rPr>
        <w:t>Publication-Grade CAM Dossier Generation</w:t>
      </w:r>
      <w:r>
        <w:rPr>
          <w:rFonts w:ascii="Calibri" w:hAnsi="Calibri"/>
          <w:b w:val="0"/>
          <w:i w:val="0"/>
          <w:color w:val="1E293B"/>
          <w:sz w:val="21"/>
        </w:rPr>
        <w:t>: Synthesize comprehensive, bilingual 7-chapter Credit Appraisal Memorandums exportable into download-ready Microsoft Word (</w:t>
      </w:r>
      <w:r>
        <w:rPr>
          <w:rFonts w:ascii="Consolas" w:hAnsi="Consolas"/>
          <w:b/>
          <w:color w:val="003366"/>
          <w:sz w:val="19"/>
        </w:rPr>
        <w:t>.docx</w:t>
      </w:r>
      <w:r>
        <w:rPr>
          <w:rFonts w:ascii="Calibri" w:hAnsi="Calibri"/>
          <w:b w:val="0"/>
          <w:i w:val="0"/>
          <w:color w:val="1E293B"/>
          <w:sz w:val="21"/>
        </w:rPr>
        <w:t>) dossiers.</w:t>
      </w:r>
    </w:p>
    <w:p>
      <w:pPr>
        <w:spacing w:before="200" w:after="60"/>
      </w:pPr>
      <w:r>
        <w:rPr>
          <w:rFonts w:ascii="Calibri" w:hAnsi="Calibri"/>
          <w:b/>
          <w:i w:val="0"/>
          <w:color w:val="003366"/>
          <w:sz w:val="24"/>
        </w:rPr>
        <w:t>System Scope:</w:t>
      </w:r>
    </w:p>
    <w:p>
      <w:pPr>
        <w:spacing w:before="40" w:after="40"/>
        <w:ind w:left="360"/>
      </w:pPr>
      <w:r>
        <w:rPr>
          <w:rFonts w:ascii="Calibri" w:hAnsi="Calibri"/>
          <w:b/>
          <w:color w:val="003366"/>
        </w:rPr>
        <w:t xml:space="preserve">• </w:t>
      </w:r>
      <w:r>
        <w:rPr>
          <w:rFonts w:ascii="Calibri" w:hAnsi="Calibri"/>
          <w:b/>
          <w:i w:val="0"/>
          <w:color w:val="1E293B"/>
          <w:sz w:val="21"/>
        </w:rPr>
        <w:t>Retail Credit Facilities</w:t>
      </w:r>
      <w:r>
        <w:rPr>
          <w:rFonts w:ascii="Calibri" w:hAnsi="Calibri"/>
          <w:b w:val="0"/>
          <w:i w:val="0"/>
          <w:color w:val="1E293B"/>
          <w:sz w:val="21"/>
        </w:rPr>
        <w:t>: Cent Home Loan, Cent Vehicle Loan, Cent Personal Loan, and Cent Education Loan.</w:t>
      </w:r>
    </w:p>
    <w:p>
      <w:pPr>
        <w:spacing w:before="40" w:after="40"/>
        <w:ind w:left="360"/>
      </w:pPr>
      <w:r>
        <w:rPr>
          <w:rFonts w:ascii="Calibri" w:hAnsi="Calibri"/>
          <w:b/>
          <w:color w:val="003366"/>
        </w:rPr>
        <w:t xml:space="preserve">• </w:t>
      </w:r>
      <w:r>
        <w:rPr>
          <w:rFonts w:ascii="Calibri" w:hAnsi="Calibri"/>
          <w:b/>
          <w:i w:val="0"/>
          <w:color w:val="1E293B"/>
          <w:sz w:val="21"/>
        </w:rPr>
        <w:t>MSME &amp; Corporate Facilities</w:t>
      </w:r>
      <w:r>
        <w:rPr>
          <w:rFonts w:ascii="Calibri" w:hAnsi="Calibri"/>
          <w:b w:val="0"/>
          <w:i w:val="0"/>
          <w:color w:val="1E293B"/>
          <w:sz w:val="21"/>
        </w:rPr>
        <w:t>: Micro, Small, and Medium Enterprises under Manufacturing and Services sectors (Working Capital Cash Credit, Term Loans, Greenfield Units, and CGTMSE guarantee-backed facilities).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pPr>
        <w:spacing w:before="240" w:after="80"/>
      </w:pPr>
      <w:r>
        <w:rPr>
          <w:rFonts w:ascii="Calibri" w:hAnsi="Calibri"/>
          <w:b/>
          <w:i w:val="0"/>
          <w:color w:val="003366"/>
          <w:sz w:val="27"/>
        </w:rPr>
        <w:t>1.5 💡 Novelty and Institutional Value Proposition</w:t>
      </w:r>
    </w:p>
    <w:p>
      <w:pPr>
        <w:spacing w:before="40" w:after="100"/>
      </w:pPr>
      <w:r>
        <w:rPr>
          <w:rFonts w:ascii="Calibri" w:hAnsi="Calibri"/>
          <w:b w:val="0"/>
          <w:i w:val="0"/>
          <w:color w:val="1E293B"/>
          <w:sz w:val="21"/>
        </w:rPr>
        <w:t>The Intelligent Loan Appraisal System (ILAS) represents a significant paradigm shift over existing financial software paradigms: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 xml:space="preserve">                            UNDERWRITING PARADIGM COMPARISON</w:t>
              <w:br/>
              <w:t xml:space="preserve">                            </w:t>
              <w:br/>
              <w:t xml:space="preserve">  CRITERIA               LEGACY RULE ENGINES      UNCONSTRAINED LLMS        ILAS PLATFORM (OUR SYSTEM)</w:t>
              <w:br/>
              <w:t xml:space="preserve">  ───────────────────────────────────────────────────────────────────────────────────────────────────</w:t>
              <w:br/>
              <w:t xml:space="preserve">  Architecture           Static Hard-coded Rules  Monolithic Prompting      11-Node LangGraph State Graph</w:t>
              <w:br/>
              <w:t xml:space="preserve">  Calculations           Deterministic            Prone to Hallucinations   100% Deterministic Python Math</w:t>
              <w:br/>
              <w:t xml:space="preserve">  Token Economics        N/A                      Expensive ($0.10+/call)   Economical (&lt; $0.0001/dossier)</w:t>
              <w:br/>
              <w:t xml:space="preserve">  Regulatory Grounding   Manual Maintenance       Unverified Output         GAHR-MSR Hybrid Search RAG</w:t>
              <w:br/>
              <w:t xml:space="preserve">  Forensic Auditing      None                     None                      Altman Z'' &amp; Beneish M-Score</w:t>
              <w:br/>
              <w:t xml:space="preserve">  MSME Rating Models     Limited Form MSE         Unstructured Text         Official Form MSE 1/II (10 CBI Grades)</w:t>
              <w:br/>
              <w:t xml:space="preserve">  Governance             Manual Sign-off          Uncontrolled Auto-Action  Mandatory HITL Interruption State</w:t>
              <w:br/>
              <w:t xml:space="preserve">  Turnaround Time (TAT)  3 to 7 Days              2 to 5 Minutes            &lt; 45 Seconds (Deterministic)</w:t>
            </w:r>
          </w:p>
        </w:tc>
      </w:tr>
    </w:tbl>
    <w:p>
      <w:pPr>
        <w:spacing w:before="0" w:after="120"/>
      </w:pPr>
    </w:p>
    <w:p>
      <w:pPr>
        <w:spacing w:before="200" w:after="60"/>
      </w:pPr>
      <w:r>
        <w:rPr>
          <w:rFonts w:ascii="Calibri" w:hAnsi="Calibri"/>
          <w:b/>
          <w:i w:val="0"/>
          <w:color w:val="003366"/>
          <w:sz w:val="24"/>
        </w:rPr>
        <w:t>Institutional Value Proposition for Central Bank of India:</w:t>
      </w:r>
    </w:p>
    <w:p>
      <w:pPr>
        <w:spacing w:before="40" w:after="100"/>
      </w:pPr>
      <w:r>
        <w:rPr>
          <w:rFonts w:ascii="Calibri" w:hAnsi="Calibri"/>
          <w:b w:val="0"/>
          <w:i w:val="0"/>
          <w:color w:val="1E293B"/>
          <w:sz w:val="21"/>
        </w:rPr>
        <w:t xml:space="preserve">1. </w:t>
      </w:r>
      <w:r>
        <w:rPr>
          <w:rFonts w:ascii="Calibri" w:hAnsi="Calibri"/>
          <w:b/>
          <w:i w:val="0"/>
          <w:color w:val="1E293B"/>
          <w:sz w:val="21"/>
        </w:rPr>
        <w:t>Dramatic TAT Compression (99.2% Reduction)</w:t>
      </w:r>
      <w:r>
        <w:rPr>
          <w:rFonts w:ascii="Calibri" w:hAnsi="Calibri"/>
          <w:b w:val="0"/>
          <w:i w:val="0"/>
          <w:color w:val="1E293B"/>
          <w:sz w:val="21"/>
        </w:rPr>
        <w:t xml:space="preserve">: Compresses the underwriting timeline from </w:t>
      </w:r>
      <w:r>
        <w:rPr>
          <w:rFonts w:ascii="Calibri" w:hAnsi="Calibri"/>
          <w:b/>
          <w:i w:val="0"/>
          <w:color w:val="1E293B"/>
          <w:sz w:val="21"/>
        </w:rPr>
        <w:t>7–14 days to under 45 seconds</w:t>
      </w:r>
      <w:r>
        <w:rPr>
          <w:rFonts w:ascii="Calibri" w:hAnsi="Calibri"/>
          <w:b w:val="0"/>
          <w:i w:val="0"/>
          <w:color w:val="1E293B"/>
          <w:sz w:val="21"/>
        </w:rPr>
        <w:t>, enabling rapid credit decisions and customer retention.</w:t>
      </w:r>
    </w:p>
    <w:p>
      <w:pPr>
        <w:spacing w:before="40" w:after="100"/>
      </w:pPr>
      <w:r>
        <w:rPr>
          <w:rFonts w:ascii="Calibri" w:hAnsi="Calibri"/>
          <w:b w:val="0"/>
          <w:i w:val="0"/>
          <w:color w:val="1E293B"/>
          <w:sz w:val="21"/>
        </w:rPr>
        <w:t xml:space="preserve">2. </w:t>
      </w:r>
      <w:r>
        <w:rPr>
          <w:rFonts w:ascii="Calibri" w:hAnsi="Calibri"/>
          <w:b/>
          <w:i w:val="0"/>
          <w:color w:val="1E293B"/>
          <w:sz w:val="21"/>
        </w:rPr>
        <w:t>Zero Mathematical Hallucination Guarantee</w:t>
      </w:r>
      <w:r>
        <w:rPr>
          <w:rFonts w:ascii="Calibri" w:hAnsi="Calibri"/>
          <w:b w:val="0"/>
          <w:i w:val="0"/>
          <w:color w:val="1E293B"/>
          <w:sz w:val="21"/>
        </w:rPr>
        <w:t>: Financial ratios, EMI amortization schedules, MSME scores, and pricing spreads are computed via dedicated deterministic Python mathematical engines ($0$ token consumption), completely eliminating LLM calculation errors.</w:t>
      </w:r>
    </w:p>
    <w:p>
      <w:pPr>
        <w:spacing w:before="40" w:after="100"/>
      </w:pPr>
      <w:r>
        <w:rPr>
          <w:rFonts w:ascii="Calibri" w:hAnsi="Calibri"/>
          <w:b w:val="0"/>
          <w:i w:val="0"/>
          <w:color w:val="1E293B"/>
          <w:sz w:val="21"/>
        </w:rPr>
        <w:t xml:space="preserve">3. </w:t>
      </w:r>
      <w:r>
        <w:rPr>
          <w:rFonts w:ascii="Calibri" w:hAnsi="Calibri"/>
          <w:b/>
          <w:i w:val="0"/>
          <w:color w:val="1E293B"/>
          <w:sz w:val="21"/>
        </w:rPr>
        <w:t>Comprehensive Balance Sheet Forensics</w:t>
      </w:r>
      <w:r>
        <w:rPr>
          <w:rFonts w:ascii="Calibri" w:hAnsi="Calibri"/>
          <w:b w:val="0"/>
          <w:i w:val="0"/>
          <w:color w:val="1E293B"/>
          <w:sz w:val="21"/>
        </w:rPr>
        <w:t>: Equips branch and regional credit managers with early-warning forensic tools (Altman Z'' bankruptcy distress zones and Beneish M earnings manipulation flags) previously unavailable at the branch level.</w:t>
      </w:r>
    </w:p>
    <w:p>
      <w:pPr>
        <w:spacing w:before="40" w:after="100"/>
      </w:pPr>
      <w:r>
        <w:rPr>
          <w:rFonts w:ascii="Calibri" w:hAnsi="Calibri"/>
          <w:b w:val="0"/>
          <w:i w:val="0"/>
          <w:color w:val="1E293B"/>
          <w:sz w:val="21"/>
        </w:rPr>
        <w:t xml:space="preserve">4. </w:t>
      </w:r>
      <w:r>
        <w:rPr>
          <w:rFonts w:ascii="Calibri" w:hAnsi="Calibri"/>
          <w:b/>
          <w:i w:val="0"/>
          <w:color w:val="1E293B"/>
          <w:sz w:val="21"/>
        </w:rPr>
        <w:t>Transparent Regulatory Explainability</w:t>
      </w:r>
      <w:r>
        <w:rPr>
          <w:rFonts w:ascii="Calibri" w:hAnsi="Calibri"/>
          <w:b w:val="0"/>
          <w:i w:val="0"/>
          <w:color w:val="1E293B"/>
          <w:sz w:val="21"/>
        </w:rPr>
        <w:t>: Bridges the gap between black-box artificial intelligence and strict banking governance by pairing statistical XGBoost default probabilities with SHAP local feature attributions and cited RBI Master Direction clauses.</w:t>
      </w:r>
    </w:p>
    <w:p>
      <w:pPr>
        <w:spacing w:before="40" w:after="100"/>
      </w:pPr>
      <w:r>
        <w:rPr>
          <w:rFonts w:ascii="Calibri" w:hAnsi="Calibri"/>
          <w:b w:val="0"/>
          <w:i w:val="0"/>
          <w:color w:val="1E293B"/>
          <w:sz w:val="21"/>
        </w:rPr>
        <w:t xml:space="preserve">5. </w:t>
      </w:r>
      <w:r>
        <w:rPr>
          <w:rFonts w:ascii="Calibri" w:hAnsi="Calibri"/>
          <w:b/>
          <w:i w:val="0"/>
          <w:color w:val="1E293B"/>
          <w:sz w:val="21"/>
        </w:rPr>
        <w:t>Auditable Governance &amp; Vigilance Compliance</w:t>
      </w:r>
      <w:r>
        <w:rPr>
          <w:rFonts w:ascii="Calibri" w:hAnsi="Calibri"/>
          <w:b w:val="0"/>
          <w:i w:val="0"/>
          <w:color w:val="1E293B"/>
          <w:sz w:val="21"/>
        </w:rPr>
        <w:t>: Maintains a tamper-proof PostgreSQL audit trail of every agent action, credit manager decision, and discretionary override justification for internal vigilance and statutory RBI inspections.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p>
      <w:pPr>
        <w:spacing w:before="240" w:after="80"/>
      </w:pPr>
      <w:r>
        <w:rPr>
          <w:rFonts w:ascii="Calibri" w:hAnsi="Calibri"/>
          <w:b/>
          <w:i w:val="0"/>
          <w:color w:val="003366"/>
          <w:sz w:val="27"/>
        </w:rPr>
        <w:t>1.6 🗺️ Report Organization &amp; Chapter Roadmap</w:t>
      </w:r>
    </w:p>
    <w:p>
      <w:pPr>
        <w:spacing w:before="40" w:after="100"/>
      </w:pPr>
      <w:r>
        <w:rPr>
          <w:rFonts w:ascii="Calibri" w:hAnsi="Calibri"/>
          <w:b w:val="0"/>
          <w:i w:val="0"/>
          <w:color w:val="1E293B"/>
          <w:sz w:val="21"/>
        </w:rPr>
        <w:t xml:space="preserve">This comprehensive institutional project report is organized into </w:t>
      </w:r>
      <w:r>
        <w:rPr>
          <w:rFonts w:ascii="Calibri" w:hAnsi="Calibri"/>
          <w:b/>
          <w:i w:val="0"/>
          <w:color w:val="1E293B"/>
          <w:sz w:val="21"/>
        </w:rPr>
        <w:t>12 structured chapters</w:t>
      </w:r>
      <w:r>
        <w:rPr>
          <w:rFonts w:ascii="Calibri" w:hAnsi="Calibri"/>
          <w:b w:val="0"/>
          <w:i w:val="0"/>
          <w:color w:val="1E293B"/>
          <w:sz w:val="21"/>
        </w:rPr>
        <w:t>, systematically detailing the conceptual, mathematical, algorithmic, architectural, and operational dimensions of the platform:</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20" w:type="dxa"/>
              <w:right w:w="120" w:type="dxa"/>
            </w:tcMar>
          </w:tcPr>
          <w:p>
            <w:pPr>
              <w:spacing w:before="40" w:after="40"/>
            </w:pPr>
            <w:r>
              <w:rPr>
                <w:rFonts w:ascii="Consolas" w:hAnsi="Consolas"/>
                <w:color w:val="1E293B"/>
                <w:sz w:val="17"/>
              </w:rPr>
              <w:t xml:space="preserve">  ┌────────────────────────────────────────────────────────────────────────────────────────┐</w:t>
              <w:br/>
              <w:t xml:space="preserve">  │                         MASTER REPORT CHAPTER ARCHITECTURE                             │</w:t>
              <w:br/>
              <w:t xml:space="preserve">  ├────────────────────────────────────────────────────────────────────────────────────────┤</w:t>
              <w:br/>
              <w:t xml:space="preserve">  │ • Chapter 1: Introduction &amp; Institutional Background (Context, Problem &amp; Scope)        │</w:t>
              <w:br/>
              <w:t xml:space="preserve">  │ • Chapter 2: Regulatory Framework &amp; Literature Survey (RBI Directions, Basel III, RAG) │</w:t>
              <w:br/>
              <w:t xml:space="preserve">  │ • Chapter 3: Requirements Analysis &amp; Specification (SRS, Personas, UML Use Cases, DFD) │</w:t>
              <w:br/>
              <w:t xml:space="preserve">  │ • Chapter 4: System Design &amp; Multi-Agent Architecture (11 Nodes, PostgreSQL, GAHR-MSR) │</w:t>
              <w:br/>
              <w:t xml:space="preserve">  │ • Chapter 5: Quantitative Financial Formulations &amp; Scoring Models (MSE 1/II, CBI 1-10) │</w:t>
              <w:br/>
              <w:t xml:space="preserve">  │ • Chapter 6: Corporate Financial Intelligence, Forensics &amp; DCF Sizing (Z'', M-Score)   │</w:t>
              <w:br/>
              <w:t xml:space="preserve">  │ • Chapter 7: Machine Learning Default Risk &amp; Explainability (XGBoost, SHAP Factor XAI) │</w:t>
              <w:br/>
              <w:t xml:space="preserve">  │ • Chapter 8: Universal Document Ingestion &amp; Computer Vision Engine (EasyOCR &amp; Ontology)│</w:t>
              <w:br/>
              <w:t xml:space="preserve">  │ • Chapter 9: User Interface &amp; Human-in-the-Loop Governance (Streamlit &amp; CAM Synthesizer│</w:t>
              <w:br/>
              <w:t xml:space="preserve">  │ • Chapter 10: System Implementation, Verification &amp; Benchmark Results (Case Studies)   │</w:t>
              <w:br/>
              <w:t xml:space="preserve">  │ • Chapter 11: Security, Governance &amp; Regulatory Compliance (DPDP Act, Zero Auto-Action)│</w:t>
              <w:br/>
              <w:t xml:space="preserve">  │ • Chapter 12: Conclusion, Business Impact &amp; Future Scope (CBS Integration Roadmap)     │</w:t>
              <w:br/>
              <w:t xml:space="preserve">  │ • References &amp; Bibliography (Statutory RBI Circulars, CBoI Master Circulars &amp; Papers)  │</w:t>
              <w:br/>
              <w:t xml:space="preserve">  └────────────────────────────────────────────────────────────────────────────────────────┘</w:t>
            </w:r>
          </w:p>
        </w:tc>
      </w:tr>
    </w:tbl>
    <w:p>
      <w:pPr>
        <w:spacing w:before="0" w:after="120"/>
      </w:pPr>
    </w:p>
    <w:p>
      <w:pPr>
        <w:spacing w:before="40" w:after="40"/>
        <w:ind w:left="360"/>
      </w:pPr>
      <w:r>
        <w:rPr>
          <w:rFonts w:ascii="Calibri" w:hAnsi="Calibri"/>
          <w:b/>
          <w:color w:val="003366"/>
        </w:rPr>
        <w:t xml:space="preserve">• </w:t>
      </w:r>
      <w:r>
        <w:rPr>
          <w:rFonts w:ascii="Calibri" w:hAnsi="Calibri"/>
          <w:b/>
          <w:i w:val="0"/>
          <w:color w:val="1E293B"/>
          <w:sz w:val="21"/>
        </w:rPr>
        <w:t>Chapter 2 (Regulatory Framework &amp; Literature Survey)</w:t>
      </w:r>
      <w:r>
        <w:rPr>
          <w:rFonts w:ascii="Calibri" w:hAnsi="Calibri"/>
          <w:b w:val="0"/>
          <w:i w:val="0"/>
          <w:color w:val="1E293B"/>
          <w:sz w:val="21"/>
        </w:rPr>
        <w:t xml:space="preserve"> examines the historical evolution of credit underwriting, prudential RBI guidelines, Basel II/III Internal Ratings-Based norms, the DPDP Act 2023, and state-of-the-art multi-agent LLM systems.</w:t>
      </w:r>
    </w:p>
    <w:p>
      <w:pPr>
        <w:spacing w:before="40" w:after="40"/>
        <w:ind w:left="360"/>
      </w:pPr>
      <w:r>
        <w:rPr>
          <w:rFonts w:ascii="Calibri" w:hAnsi="Calibri"/>
          <w:b/>
          <w:color w:val="003366"/>
        </w:rPr>
        <w:t xml:space="preserve">• </w:t>
      </w:r>
      <w:r>
        <w:rPr>
          <w:rFonts w:ascii="Calibri" w:hAnsi="Calibri"/>
          <w:b/>
          <w:i w:val="0"/>
          <w:color w:val="1E293B"/>
          <w:sz w:val="21"/>
        </w:rPr>
        <w:t>Chapter 3 (Requirements Analysis &amp; Specification)</w:t>
      </w:r>
      <w:r>
        <w:rPr>
          <w:rFonts w:ascii="Calibri" w:hAnsi="Calibri"/>
          <w:b w:val="0"/>
          <w:i w:val="0"/>
          <w:color w:val="1E293B"/>
          <w:sz w:val="21"/>
        </w:rPr>
        <w:t xml:space="preserve"> details institutional stakeholder personas, functional requirements (FR-1 to FR-12), non-functional SLAs, and UML/DFD data flow models.</w:t>
      </w:r>
    </w:p>
    <w:p>
      <w:pPr>
        <w:spacing w:before="40" w:after="40"/>
        <w:ind w:left="360"/>
      </w:pPr>
      <w:r>
        <w:rPr>
          <w:rFonts w:ascii="Calibri" w:hAnsi="Calibri"/>
          <w:b/>
          <w:color w:val="003366"/>
        </w:rPr>
        <w:t xml:space="preserve">• </w:t>
      </w:r>
      <w:r>
        <w:rPr>
          <w:rFonts w:ascii="Calibri" w:hAnsi="Calibri"/>
          <w:b/>
          <w:i w:val="0"/>
          <w:color w:val="1E293B"/>
          <w:sz w:val="21"/>
        </w:rPr>
        <w:t>Chapter 4 (System Design &amp; Multi-Agent Architecture)</w:t>
      </w:r>
      <w:r>
        <w:rPr>
          <w:rFonts w:ascii="Calibri" w:hAnsi="Calibri"/>
          <w:b w:val="0"/>
          <w:i w:val="0"/>
          <w:color w:val="1E293B"/>
          <w:sz w:val="21"/>
        </w:rPr>
        <w:t xml:space="preserve"> presents the 4-tier architectural topology, the 11-node LangGraph state machine, PostgreSQL/</w:t>
      </w:r>
      <w:r>
        <w:rPr>
          <w:rFonts w:ascii="Consolas" w:hAnsi="Consolas"/>
          <w:b/>
          <w:color w:val="003366"/>
          <w:sz w:val="19"/>
        </w:rPr>
        <w:t>pgvector</w:t>
      </w:r>
      <w:r>
        <w:rPr>
          <w:rFonts w:ascii="Calibri" w:hAnsi="Calibri"/>
          <w:b w:val="0"/>
          <w:i w:val="0"/>
          <w:color w:val="1E293B"/>
          <w:sz w:val="21"/>
        </w:rPr>
        <w:t xml:space="preserve"> schema, and the GAHR-MSR Hybrid Search RAG pipeline.</w:t>
      </w:r>
    </w:p>
    <w:p>
      <w:pPr>
        <w:spacing w:before="40" w:after="40"/>
        <w:ind w:left="360"/>
      </w:pPr>
      <w:r>
        <w:rPr>
          <w:rFonts w:ascii="Calibri" w:hAnsi="Calibri"/>
          <w:b/>
          <w:color w:val="003366"/>
        </w:rPr>
        <w:t xml:space="preserve">• </w:t>
      </w:r>
      <w:r>
        <w:rPr>
          <w:rFonts w:ascii="Calibri" w:hAnsi="Calibri"/>
          <w:b/>
          <w:i w:val="0"/>
          <w:color w:val="1E293B"/>
          <w:sz w:val="21"/>
        </w:rPr>
        <w:t>Chapter 5 (Quantitative Financial Formulations &amp; Scoring Models)</w:t>
      </w:r>
      <w:r>
        <w:rPr>
          <w:rFonts w:ascii="Calibri" w:hAnsi="Calibri"/>
          <w:b w:val="0"/>
          <w:i w:val="0"/>
          <w:color w:val="1E293B"/>
          <w:sz w:val="21"/>
        </w:rPr>
        <w:t xml:space="preserve"> formalizes retail debt serviceability mathematics, the 13-parameter Form MSE 1 and 9-parameter Form MSE II rating frameworks, 10-Tier CBI Risk Grades, 50-mark Hurdle Rate invariants, and the 01.07.2026 RBLR pricing engine.</w:t>
      </w:r>
    </w:p>
    <w:p>
      <w:pPr>
        <w:spacing w:before="40" w:after="40"/>
        <w:ind w:left="360"/>
      </w:pPr>
      <w:r>
        <w:rPr>
          <w:rFonts w:ascii="Calibri" w:hAnsi="Calibri"/>
          <w:b/>
          <w:color w:val="003366"/>
        </w:rPr>
        <w:t xml:space="preserve">• </w:t>
      </w:r>
      <w:r>
        <w:rPr>
          <w:rFonts w:ascii="Calibri" w:hAnsi="Calibri"/>
          <w:b/>
          <w:i w:val="0"/>
          <w:color w:val="1E293B"/>
          <w:sz w:val="21"/>
        </w:rPr>
        <w:t>Chapter 6 (Corporate Financial Intelligence, Forensics &amp; DCF Sizing)</w:t>
      </w:r>
      <w:r>
        <w:rPr>
          <w:rFonts w:ascii="Calibri" w:hAnsi="Calibri"/>
          <w:b w:val="0"/>
          <w:i w:val="0"/>
          <w:color w:val="1E293B"/>
          <w:sz w:val="21"/>
        </w:rPr>
        <w:t xml:space="preserve"> articulates 3-Year CMA spreading, 5-Pillar Diagnostics, Tandon/Nayak MPBF models, Emerging Market Altman Z''-Score, Beneish M-Score, macro stress testing, and DCF valuation.</w:t>
      </w:r>
    </w:p>
    <w:p>
      <w:pPr>
        <w:spacing w:before="40" w:after="40"/>
        <w:ind w:left="360"/>
      </w:pPr>
      <w:r>
        <w:rPr>
          <w:rFonts w:ascii="Calibri" w:hAnsi="Calibri"/>
          <w:b/>
          <w:color w:val="003366"/>
        </w:rPr>
        <w:t xml:space="preserve">• </w:t>
      </w:r>
      <w:r>
        <w:rPr>
          <w:rFonts w:ascii="Calibri" w:hAnsi="Calibri"/>
          <w:b/>
          <w:i w:val="0"/>
          <w:color w:val="1E293B"/>
          <w:sz w:val="21"/>
        </w:rPr>
        <w:t>Chapter 7 (Machine Learning Default Risk &amp; Explainability)</w:t>
      </w:r>
      <w:r>
        <w:rPr>
          <w:rFonts w:ascii="Calibri" w:hAnsi="Calibri"/>
          <w:b w:val="0"/>
          <w:i w:val="0"/>
          <w:color w:val="1E293B"/>
          <w:sz w:val="21"/>
        </w:rPr>
        <w:t xml:space="preserve"> describes synthetic Basel loan book generation, 23-parameter feature engineering, XGBoost model training (ROC-AUC 0.942), and SHAP explainability.</w:t>
      </w:r>
    </w:p>
    <w:p>
      <w:pPr>
        <w:spacing w:before="40" w:after="40"/>
        <w:ind w:left="360"/>
      </w:pPr>
      <w:r>
        <w:rPr>
          <w:rFonts w:ascii="Calibri" w:hAnsi="Calibri"/>
          <w:b/>
          <w:color w:val="003366"/>
        </w:rPr>
        <w:t xml:space="preserve">• </w:t>
      </w:r>
      <w:r>
        <w:rPr>
          <w:rFonts w:ascii="Calibri" w:hAnsi="Calibri"/>
          <w:b/>
          <w:i w:val="0"/>
          <w:color w:val="1E293B"/>
          <w:sz w:val="21"/>
        </w:rPr>
        <w:t>Chapter 8 (Universal Document Ingestion &amp; Computer Vision Engine)</w:t>
      </w:r>
      <w:r>
        <w:rPr>
          <w:rFonts w:ascii="Calibri" w:hAnsi="Calibri"/>
          <w:b w:val="0"/>
          <w:i w:val="0"/>
          <w:color w:val="1E293B"/>
          <w:sz w:val="21"/>
        </w:rPr>
        <w:t xml:space="preserve"> details multi-format parsing, EasyOCR deep learning pipelines, and fuzzy banking synonym mapping.</w:t>
      </w:r>
    </w:p>
    <w:p>
      <w:pPr>
        <w:spacing w:before="40" w:after="40"/>
        <w:ind w:left="360"/>
      </w:pPr>
      <w:r>
        <w:rPr>
          <w:rFonts w:ascii="Calibri" w:hAnsi="Calibri"/>
          <w:b/>
          <w:color w:val="003366"/>
        </w:rPr>
        <w:t xml:space="preserve">• </w:t>
      </w:r>
      <w:r>
        <w:rPr>
          <w:rFonts w:ascii="Calibri" w:hAnsi="Calibri"/>
          <w:b/>
          <w:i w:val="0"/>
          <w:color w:val="1E293B"/>
          <w:sz w:val="21"/>
        </w:rPr>
        <w:t>Chapter 9 (User Interface &amp; Human-in-the-Loop Governance)</w:t>
      </w:r>
      <w:r>
        <w:rPr>
          <w:rFonts w:ascii="Calibri" w:hAnsi="Calibri"/>
          <w:b w:val="0"/>
          <w:i w:val="0"/>
          <w:color w:val="1E293B"/>
          <w:sz w:val="21"/>
        </w:rPr>
        <w:t xml:space="preserve"> outlines the Streamlit UI architecture, 1-Click institutional demo loaders, Corporate Valuation Hub, Credit Manager active review queues, and Microsoft Word (</w:t>
      </w:r>
      <w:r>
        <w:rPr>
          <w:rFonts w:ascii="Consolas" w:hAnsi="Consolas"/>
          <w:b/>
          <w:color w:val="003366"/>
          <w:sz w:val="19"/>
        </w:rPr>
        <w:t>.docx</w:t>
      </w:r>
      <w:r>
        <w:rPr>
          <w:rFonts w:ascii="Calibri" w:hAnsi="Calibri"/>
          <w:b w:val="0"/>
          <w:i w:val="0"/>
          <w:color w:val="1E293B"/>
          <w:sz w:val="21"/>
        </w:rPr>
        <w:t>) dossier synthesis.</w:t>
      </w:r>
    </w:p>
    <w:p>
      <w:pPr>
        <w:spacing w:before="40" w:after="40"/>
        <w:ind w:left="360"/>
      </w:pPr>
      <w:r>
        <w:rPr>
          <w:rFonts w:ascii="Calibri" w:hAnsi="Calibri"/>
          <w:b/>
          <w:color w:val="003366"/>
        </w:rPr>
        <w:t xml:space="preserve">• </w:t>
      </w:r>
      <w:r>
        <w:rPr>
          <w:rFonts w:ascii="Calibri" w:hAnsi="Calibri"/>
          <w:b/>
          <w:i w:val="0"/>
          <w:color w:val="1E293B"/>
          <w:sz w:val="21"/>
        </w:rPr>
        <w:t>Chapter 10 (System Implementation, Verification &amp; Benchmark Results)</w:t>
      </w:r>
      <w:r>
        <w:rPr>
          <w:rFonts w:ascii="Calibri" w:hAnsi="Calibri"/>
          <w:b w:val="0"/>
          <w:i w:val="0"/>
          <w:color w:val="1E293B"/>
          <w:sz w:val="21"/>
        </w:rPr>
        <w:t xml:space="preserve"> reviews codebase integration, the automated 5-suite verification test harness, 8 institutional benchmark case studies, and token consumption economics.</w:t>
      </w:r>
    </w:p>
    <w:p>
      <w:pPr>
        <w:spacing w:before="40" w:after="40"/>
        <w:ind w:left="360"/>
      </w:pPr>
      <w:r>
        <w:rPr>
          <w:rFonts w:ascii="Calibri" w:hAnsi="Calibri"/>
          <w:b/>
          <w:color w:val="003366"/>
        </w:rPr>
        <w:t xml:space="preserve">• </w:t>
      </w:r>
      <w:r>
        <w:rPr>
          <w:rFonts w:ascii="Calibri" w:hAnsi="Calibri"/>
          <w:b/>
          <w:i w:val="0"/>
          <w:color w:val="1E293B"/>
          <w:sz w:val="21"/>
        </w:rPr>
        <w:t>Chapter 11 (Security, Governance &amp; Regulatory Compliance)</w:t>
      </w:r>
      <w:r>
        <w:rPr>
          <w:rFonts w:ascii="Calibri" w:hAnsi="Calibri"/>
          <w:b w:val="0"/>
          <w:i w:val="0"/>
          <w:color w:val="1E293B"/>
          <w:sz w:val="21"/>
        </w:rPr>
        <w:t xml:space="preserve"> evaluates zero auto-sanction mechanics, DPDP Act PII token masking, immutable vigilance logging, and model risk governance.</w:t>
      </w:r>
    </w:p>
    <w:p>
      <w:pPr>
        <w:spacing w:before="40" w:after="40"/>
        <w:ind w:left="360"/>
      </w:pPr>
      <w:r>
        <w:rPr>
          <w:rFonts w:ascii="Calibri" w:hAnsi="Calibri"/>
          <w:b/>
          <w:color w:val="003366"/>
        </w:rPr>
        <w:t xml:space="preserve">• </w:t>
      </w:r>
      <w:r>
        <w:rPr>
          <w:rFonts w:ascii="Calibri" w:hAnsi="Calibri"/>
          <w:b/>
          <w:i w:val="0"/>
          <w:color w:val="1E293B"/>
          <w:sz w:val="21"/>
        </w:rPr>
        <w:t>Chapter 12 (Conclusion, Business Impact &amp; Future Scope)</w:t>
      </w:r>
      <w:r>
        <w:rPr>
          <w:rFonts w:ascii="Calibri" w:hAnsi="Calibri"/>
          <w:b w:val="0"/>
          <w:i w:val="0"/>
          <w:color w:val="1E293B"/>
          <w:sz w:val="21"/>
        </w:rPr>
        <w:t xml:space="preserve"> summarizes empirical findings, operational ROI for Central Bank of India, system limitations, and the future integration roadmap with Core Banking Solutions (Finacle) and GSTN APIs.</w:t>
      </w:r>
    </w:p>
    <w:tbl>
      <w:tblPr>
        <w:tblW w:type="auto" w:w="0"/>
        <w:jc w:val="center"/>
        <w:tblLook w:firstColumn="1" w:firstRow="1" w:lastColumn="0" w:lastRow="0" w:noHBand="0" w:noVBand="1" w:val="04A0"/>
      </w:tblPr>
      <w:tblGrid>
        <w:gridCol w:w="9360"/>
      </w:tblGrid>
      <w:tr>
        <w:tc>
          <w:tcPr>
            <w:tcW w:type="dxa" w:w="9360"/>
            <w:shd w:fill="CBD5E1"/>
          </w:tcPr>
          <w:p>
            <w:pPr>
              <w:spacing w:before="20" w:after="20"/>
            </w:pP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96A0"/>
        <w:sz w:val="17"/>
      </w:rPr>
      <w:t>Institutional Confidential &amp; Proprietary — Central Bank of India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828C"/>
        <w:sz w:val="17"/>
      </w:rPr>
      <w:t>CENTRAL BANK OF INDIA | REGIONAL OFFICE, VISAKHAPATNAM</w:t>
      <w:br/>
      <w:t>ILAS Risk Management Internship Dossier — Chapter 1: Introduction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