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Salesforce Day-2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Gunta Sai Koushik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Regd No: 23PA1A4544</w:t>
      </w:r>
    </w:p>
    <w:p>
      <w:pPr>
        <w:pBdr>
          <w:bottom w:val="single" w:color="999999" w:sz="6"/>
        </w:pBdr>
        <w:spacing w:after="300"/>
      </w:pPr>
    </w:p>
    <w:p>
      <w:pPr>
        <w:pStyle w:val="Heading1"/>
        <w:spacing w:after="150" w:before="300"/>
      </w:pPr>
      <w:r>
        <w:t xml:space="preserve">Task 1 – Apex Collections (List, Set and Map)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Introduction</w:t>
      </w:r>
    </w:p>
    <w:p>
      <w:pPr>
        <w:spacing w:after="150"/>
      </w:pPr>
      <w:r>
        <w:t xml:space="preserve">Collections are data structures used to store multiple values in Apex. Salesforce provides three main collection types: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List</w:t>
      </w:r>
    </w:p>
    <w:p>
      <w:pPr>
        <w:spacing w:after="150"/>
      </w:pPr>
      <w:r>
        <w:rPr>
          <w:b/>
          <w:bCs/>
        </w:rPr>
        <w:t xml:space="preserve">Definition</w:t>
      </w:r>
    </w:p>
    <w:p>
      <w:pPr>
        <w:spacing w:after="150"/>
      </w:pPr>
      <w:r>
        <w:t xml:space="preserve">A List is an ordered collection of elements. It allows duplicate values and preserves the order in which elements are inserted.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List&lt;String&gt; cities = new List&lt;String&gt;();</w:t>
      </w:r>
    </w:p>
    <w:p>
      <w:pPr>
        <w:spacing w:after="20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List code — building a List&lt;String&gt; of city names and printing each in uppercase</w:t>
      </w:r>
    </w:p>
    <w:p>
      <w:pPr>
        <w:spacing w:after="20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Execution log — List output showing all 5 cities in uppercase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Set</w:t>
      </w:r>
    </w:p>
    <w:p>
      <w:pPr>
        <w:spacing w:after="150"/>
      </w:pPr>
      <w:r>
        <w:rPr>
          <w:b/>
          <w:bCs/>
        </w:rPr>
        <w:t xml:space="preserve">Definition</w:t>
      </w:r>
    </w:p>
    <w:p>
      <w:pPr>
        <w:spacing w:after="150"/>
      </w:pPr>
      <w:r>
        <w:t xml:space="preserve">A Set stores only unique values.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Set&lt;String&gt; cities = new Set&lt;String&gt;();</w:t>
      </w:r>
    </w:p>
    <w:p>
      <w:pPr>
        <w:spacing w:after="20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Set code — building a Set&lt;Id&gt; from a SOQL query on Student__c</w:t>
      </w:r>
    </w:p>
    <w:p>
      <w:pPr>
        <w:spacing w:after="200"/>
        <w:jc w:val="center"/>
      </w:pPr>
      <w:r>
        <w:drawing>
          <wp:inline distT="0" distB="0" distL="0" distR="0">
            <wp:extent cx="5334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Execution log — Set output showing the distinct record count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Map</w:t>
      </w:r>
    </w:p>
    <w:p>
      <w:pPr>
        <w:spacing w:after="150"/>
      </w:pPr>
      <w:r>
        <w:rPr>
          <w:b/>
          <w:bCs/>
        </w:rPr>
        <w:t xml:space="preserve">Definition</w:t>
      </w:r>
    </w:p>
    <w:p>
      <w:pPr>
        <w:spacing w:after="150"/>
      </w:pPr>
      <w:r>
        <w:t xml:space="preserve">A Map stores data as Key-Value pairs.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Map&lt;Id, Student__c&gt; studentMap =</w:t>
      </w:r>
      <w:r>
        <w:rPr>
          <w:rFonts w:ascii="Consolas" w:cs="Consolas" w:eastAsia="Consolas" w:hAnsi="Consolas"/>
          <w:sz w:val="20"/>
          <w:szCs w:val="20"/>
        </w:rPr>
        <w:br/>
        <w:t xml:space="preserve">    new Map&lt;Id, Student__c&gt;();</w:t>
      </w:r>
    </w:p>
    <w:p>
      <w:pPr>
        <w:spacing w:after="200"/>
        <w:jc w:val="center"/>
      </w:pPr>
      <w:r>
        <w:drawing>
          <wp:inline distT="0" distB="0" distL="0" distR="0">
            <wp:extent cx="5334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Map code — building a Map&lt;Id, Student__c&gt; and looking up a record by Id</w:t>
      </w:r>
    </w:p>
    <w:p>
      <w:pPr>
        <w:spacing w:after="200"/>
        <w:jc w:val="center"/>
      </w:pPr>
      <w:r>
        <w:drawing>
          <wp:inline distT="0" distB="0" distL="0" distR="0">
            <wp:extent cx="53340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Execution log — Map output showing the field value ('koushik') for the looked-up Id</w:t>
      </w:r>
    </w:p>
    <w:p>
      <w:pPr>
        <w:pStyle w:val="Heading1"/>
        <w:spacing w:after="150" w:before="300"/>
      </w:pPr>
      <w:r>
        <w:t xml:space="preserve">Task 2 – Governor Limits &amp; Bulkification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Governor Limits</w:t>
      </w:r>
    </w:p>
    <w:p>
      <w:pPr>
        <w:spacing w:after="150"/>
      </w:pPr>
      <w:r>
        <w:t xml:space="preserve">Salesforce is a multi-tenant platform where many organizations share the same resources. To ensure fair usage, Salesforce enforces Governor Limits.</w:t>
      </w:r>
    </w:p>
    <w:p>
      <w:pPr>
        <w:spacing w:after="15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SOQL Queries = 100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DML Statements = 150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Heap Size Limit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Break It — Bad Trigger (SOQL inside a for loop)</w:t>
      </w:r>
    </w:p>
    <w:p>
      <w:pPr>
        <w:spacing w:after="200"/>
        <w:jc w:val="center"/>
      </w:pPr>
      <w:r>
        <w:drawing>
          <wp:inline distT="0" distB="0" distL="0" distR="0">
            <wp:extent cx="53340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BadTrigger.apxt — SOQL query placed inside the for loop, with the bulk insert script (500 records) used to trigger the failure</w:t>
      </w:r>
    </w:p>
    <w:p>
      <w:pPr>
        <w:spacing w:after="200"/>
        <w:jc w:val="center"/>
      </w:pPr>
      <w:r>
        <w:drawing>
          <wp:inline distT="0" distB="0" distL="0" distR="0">
            <wp:extent cx="5334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Execution Anonymous Error — 'Too many SOQL queries: 101', confirming the governor limit was hit as expected</w:t>
      </w:r>
    </w:p>
    <w:p>
      <w:pPr>
        <w:pStyle w:val="Heading1"/>
        <w:spacing w:after="150" w:before="300"/>
      </w:pPr>
      <w:r>
        <w:t xml:space="preserve">Task 3 – Asynchronous Apex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What is Asynchronous Apex?</w:t>
      </w:r>
    </w:p>
    <w:p>
      <w:pPr>
        <w:spacing w:after="150"/>
      </w:pPr>
      <w:r>
        <w:t xml:space="preserve">Asynchronous Apex executes code in the background without making users wait.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Future Apex</w:t>
      </w:r>
    </w:p>
    <w:p>
      <w:pPr>
        <w:spacing w:after="150"/>
      </w:pPr>
      <w:r>
        <w:t xml:space="preserve">Future methods execute after the current transaction completes.</w:t>
      </w:r>
    </w:p>
    <w:p>
      <w:pPr>
        <w:spacing w:after="150"/>
      </w:pPr>
      <w:r>
        <w:rPr>
          <w:b/>
          <w:bCs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be static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void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 @future annotation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Accepts only primitive parameters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Future vs Queueable vs Batch Apex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33"/>
        <w:gridCol w:w="2333"/>
        <w:gridCol w:w="2334"/>
      </w:tblGrid>
      <w:tr>
        <w:trPr>
          <w:tblHeader/>
        </w:trP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333"/>
            <w:shd w:fill="D9E2F3" w:val="clear"/>
          </w:tcPr>
          <w:p>
            <w:r>
              <w:rPr>
                <w:b/>
                <w:bCs/>
              </w:rPr>
              <w:t xml:space="preserve">Future</w:t>
            </w:r>
          </w:p>
        </w:tc>
        <w:tc>
          <w:tcPr>
            <w:tcW w:type="dxa" w:w="2333"/>
            <w:shd w:fill="D9E2F3" w:val="clear"/>
          </w:tcPr>
          <w:p>
            <w:r>
              <w:rPr>
                <w:b/>
                <w:bCs/>
              </w:rPr>
              <w:t xml:space="preserve">Queueable</w:t>
            </w:r>
          </w:p>
        </w:tc>
        <w:tc>
          <w:tcPr>
            <w:tcW w:type="dxa" w:w="2334"/>
            <w:shd w:fill="D9E2F3" w:val="clear"/>
          </w:tcPr>
          <w:p>
            <w:r>
              <w:rPr>
                <w:b/>
                <w:bCs/>
              </w:rPr>
              <w:t xml:space="preserve">Batch</w:t>
            </w:r>
          </w:p>
        </w:tc>
      </w:tr>
      <w:tr>
        <w:tc>
          <w:tcPr>
            <w:tcW w:type="dxa" w:w="2000"/>
          </w:tcPr>
          <w:p>
            <w:r>
              <w:t xml:space="preserve">Execution</w:t>
            </w:r>
          </w:p>
        </w:tc>
        <w:tc>
          <w:tcPr>
            <w:tcW w:type="dxa" w:w="2333"/>
          </w:tcPr>
          <w:p>
            <w:r>
              <w:t xml:space="preserve">Background</w:t>
            </w:r>
          </w:p>
        </w:tc>
        <w:tc>
          <w:tcPr>
            <w:tcW w:type="dxa" w:w="2333"/>
          </w:tcPr>
          <w:p>
            <w:r>
              <w:t xml:space="preserve">Background</w:t>
            </w:r>
          </w:p>
        </w:tc>
        <w:tc>
          <w:tcPr>
            <w:tcW w:type="dxa" w:w="2334"/>
          </w:tcPr>
          <w:p>
            <w:r>
              <w:t xml:space="preserve">Background</w:t>
            </w:r>
          </w:p>
        </w:tc>
      </w:tr>
      <w:tr>
        <w:tc>
          <w:tcPr>
            <w:tcW w:type="dxa" w:w="2000"/>
          </w:tcPr>
          <w:p>
            <w:r>
              <w:t xml:space="preserve">Parameters</w:t>
            </w:r>
          </w:p>
        </w:tc>
        <w:tc>
          <w:tcPr>
            <w:tcW w:type="dxa" w:w="2333"/>
          </w:tcPr>
          <w:p>
            <w:r>
              <w:t xml:space="preserve">Primitive Only</w:t>
            </w:r>
          </w:p>
        </w:tc>
        <w:tc>
          <w:tcPr>
            <w:tcW w:type="dxa" w:w="2333"/>
          </w:tcPr>
          <w:p>
            <w:r>
              <w:t xml:space="preserve">Complex Objects Allowed</w:t>
            </w:r>
          </w:p>
        </w:tc>
        <w:tc>
          <w:tcPr>
            <w:tcW w:type="dxa" w:w="2334"/>
          </w:tcPr>
          <w:p>
            <w:r>
              <w:t xml:space="preserve">QueryLocator/Iterable</w:t>
            </w:r>
          </w:p>
        </w:tc>
      </w:tr>
      <w:tr>
        <w:tc>
          <w:tcPr>
            <w:tcW w:type="dxa" w:w="2000"/>
          </w:tcPr>
          <w:p>
            <w:r>
              <w:t xml:space="preserve">Chaining</w:t>
            </w:r>
          </w:p>
        </w:tc>
        <w:tc>
          <w:tcPr>
            <w:tcW w:type="dxa" w:w="2333"/>
          </w:tcPr>
          <w:p>
            <w:r>
              <w:t xml:space="preserve">No</w:t>
            </w:r>
          </w:p>
        </w:tc>
        <w:tc>
          <w:tcPr>
            <w:tcW w:type="dxa" w:w="2333"/>
          </w:tcPr>
          <w:p>
            <w:r>
              <w:t xml:space="preserve">Yes</w:t>
            </w:r>
          </w:p>
        </w:tc>
        <w:tc>
          <w:tcPr>
            <w:tcW w:type="dxa" w:w="2334"/>
          </w:tcPr>
          <w:p>
            <w:r>
              <w:t xml:space="preserve">Yes</w:t>
            </w:r>
          </w:p>
        </w:tc>
      </w:tr>
      <w:tr>
        <w:tc>
          <w:tcPr>
            <w:tcW w:type="dxa" w:w="2000"/>
          </w:tcPr>
          <w:p>
            <w:r>
              <w:t xml:space="preserve">Job Monitoring</w:t>
            </w:r>
          </w:p>
        </w:tc>
        <w:tc>
          <w:tcPr>
            <w:tcW w:type="dxa" w:w="2333"/>
          </w:tcPr>
          <w:p>
            <w:r>
              <w:t xml:space="preserve">Limited</w:t>
            </w:r>
          </w:p>
        </w:tc>
        <w:tc>
          <w:tcPr>
            <w:tcW w:type="dxa" w:w="2333"/>
          </w:tcPr>
          <w:p>
            <w:r>
              <w:t xml:space="preserve">Better</w:t>
            </w:r>
          </w:p>
        </w:tc>
        <w:tc>
          <w:tcPr>
            <w:tcW w:type="dxa" w:w="2334"/>
          </w:tcPr>
          <w:p>
            <w:r>
              <w:t xml:space="preserve">Full</w:t>
            </w:r>
          </w:p>
        </w:tc>
      </w:tr>
      <w:tr>
        <w:tc>
          <w:tcPr>
            <w:tcW w:type="dxa" w:w="2000"/>
          </w:tcPr>
          <w:p>
            <w:r>
              <w:t xml:space="preserve">Best For</w:t>
            </w:r>
          </w:p>
        </w:tc>
        <w:tc>
          <w:tcPr>
            <w:tcW w:type="dxa" w:w="2333"/>
          </w:tcPr>
          <w:p>
            <w:r>
              <w:t xml:space="preserve">Small Tasks</w:t>
            </w:r>
          </w:p>
        </w:tc>
        <w:tc>
          <w:tcPr>
            <w:tcW w:type="dxa" w:w="2333"/>
          </w:tcPr>
          <w:p>
            <w:r>
              <w:t xml:space="preserve">Medium Complexity</w:t>
            </w:r>
          </w:p>
        </w:tc>
        <w:tc>
          <w:tcPr>
            <w:tcW w:type="dxa" w:w="2334"/>
          </w:tcPr>
          <w:p>
            <w:r>
              <w:t xml:space="preserve">Millions of Records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When to Use</w:t>
      </w:r>
    </w:p>
    <w:p>
      <w:pPr>
        <w:spacing w:after="150"/>
      </w:pPr>
      <w:r>
        <w:rPr>
          <w:b/>
          <w:bCs/>
        </w:rPr>
        <w:t xml:space="preserve">Future Apex — Used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Updating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Sending emails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 Callouts</w:t>
      </w:r>
    </w:p>
    <w:p>
      <w:pPr>
        <w:spacing w:after="150"/>
      </w:pPr>
      <w:r>
        <w:rPr>
          <w:b/>
          <w:bCs/>
        </w:rPr>
        <w:t xml:space="preserve">Queueable Apex — Used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Passing collections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Chaining multiple jobs</w:t>
      </w:r>
    </w:p>
    <w:p>
      <w:pPr>
        <w:spacing w:after="150"/>
      </w:pPr>
      <w:r>
        <w:rPr>
          <w:b/>
          <w:bCs/>
        </w:rPr>
        <w:t xml:space="preserve">Batch Apex — Used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Large datasets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Nightly jobs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Millions of records</w:t>
      </w:r>
    </w:p>
    <w:p>
      <w:pPr>
        <w:spacing w:after="20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StudentFuture.cls — @future method that updates a Student__c record</w:t>
      </w:r>
    </w:p>
    <w:p>
      <w:pPr>
        <w:spacing w:after="20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Setup → Apex Jobs — confirming the future job 'updateStudent' completed asynchronously</w:t>
      </w:r>
    </w:p>
    <w:p>
      <w:pPr>
        <w:pStyle w:val="Heading1"/>
        <w:spacing w:after="150" w:before="300"/>
      </w:pPr>
      <w:r>
        <w:t xml:space="preserve">Task 4 – Lightning Web Components (LWC) Component Communication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spacing w:after="150"/>
      </w:pPr>
      <w:r>
        <w:t xml:space="preserve">The objective of this task was to understand how Lightning Web Components communicate with each other using Parent-to-Child and Child-to-Parent communication.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Parent-to-Child Communication</w:t>
      </w:r>
    </w:p>
    <w:p>
      <w:pPr>
        <w:spacing w:after="150"/>
      </w:pPr>
      <w:r>
        <w:t xml:space="preserve">Parent-to-Child communication is achieved using the @api decorator. The parent component passes data (such as a recordId) to the child component through a public property. The child receives the value and displays the required record information using Lightning Data Service (getRecord).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Child-to-Parent Communication</w:t>
      </w:r>
    </w:p>
    <w:p>
      <w:pPr>
        <w:spacing w:after="150"/>
      </w:pPr>
      <w:r>
        <w:t xml:space="preserve">Child-to-Parent communication is implemented using Custom Events. When the user clicks a button in the child component, it dispatches a custom event. The parent component listens for this event and updates its user interface accordingly.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@api is used to expose public properties or methods to parent components.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Events allow child components to notify parent components of user 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Lightning Data Service (LDS) is used to retrieve Salesforce records without writing Apex code.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Outcome</w:t>
      </w:r>
    </w:p>
    <w:p>
      <w:pPr>
        <w:spacing w:after="150"/>
      </w:pPr>
      <w:r>
        <w:t xml:space="preserve">Successfully implemented communication between two Lightning Web Components where: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parent passed a Student record Id to the child.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child displayed the Student details.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child sent an event to the parent.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parent received the event and updated the displayed message.</w:t>
      </w:r>
    </w:p>
    <w:p>
      <w:pPr>
        <w:spacing w:after="200"/>
        <w:jc w:val="center"/>
      </w:pPr>
      <w:r>
        <w:drawing>
          <wp:inline distT="0" distB="0" distL="0" distR="0">
            <wp:extent cx="5334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parentComponent.html — passing recordId to the child and listening for the 'save' event</w:t>
      </w:r>
    </w:p>
    <w:p>
      <w:pPr>
        <w:spacing w:after="200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childComponent.html — displaying student data via Lightning Data Service and firing the 'Notify Parent' custom event</w:t>
      </w:r>
    </w:p>
    <w:p>
      <w:pPr>
        <w:spacing w:before="200"/>
      </w:pPr>
      <w:r>
        <w:rPr>
          <w:b/>
          <w:bCs/>
        </w:rPr>
        <w:t xml:space="preserve">Demo Video (Google Drive): </w:t>
      </w:r>
      <w:hyperlink w:history="1" r:id="rIdkm-pxhv_iru_gmeiydtqg">
        <w:r>
          <w:rPr>
            <w:rStyle w:val="Hyperlink"/>
          </w:rPr>
          <w:t xml:space="preserve">View Recording</w:t>
        </w:r>
      </w:hyperlink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-pxhv_iru_gmeiydtqg" Type="http://schemas.openxmlformats.org/officeDocument/2006/relationships/hyperlink" Target="https://drive.google.com/file/d/1rHTlQv2ntjy_uuQ2kphJ2qGZ3M5bnp_4/view?usp=sharing" TargetMode="External"/><Relationship Id="rId7" Type="http://schemas.openxmlformats.org/officeDocument/2006/relationships/image" Target="media/8bed38003fc3760cd8b767b919b9ec3447be9fe1.png"/><Relationship Id="rId8" Type="http://schemas.openxmlformats.org/officeDocument/2006/relationships/image" Target="media/f2185b027413cff5651f765920050d08799a805e.png"/><Relationship Id="rId9" Type="http://schemas.openxmlformats.org/officeDocument/2006/relationships/image" Target="media/3767445267f382a93227651dc54a47aabe252f69.png"/><Relationship Id="rId10" Type="http://schemas.openxmlformats.org/officeDocument/2006/relationships/image" Target="media/78a61aa79a7b00d1be119f882153a66cbac65cc4.png"/><Relationship Id="rId11" Type="http://schemas.openxmlformats.org/officeDocument/2006/relationships/image" Target="media/6f742afff2a139f86b12ac2d704b29a1706cbddf.png"/><Relationship Id="rId12" Type="http://schemas.openxmlformats.org/officeDocument/2006/relationships/image" Target="media/33af60781b1ae84a827d597d814f474af82f3700.png"/><Relationship Id="rId13" Type="http://schemas.openxmlformats.org/officeDocument/2006/relationships/image" Target="media/83155fcdde8952c270a2f2e3026d74062bea08e2.png"/><Relationship Id="rId14" Type="http://schemas.openxmlformats.org/officeDocument/2006/relationships/image" Target="media/9f93a77b27868c7ef3aa2be589dca7f1bdb69c82.png"/><Relationship Id="rId15" Type="http://schemas.openxmlformats.org/officeDocument/2006/relationships/image" Target="media/33befb3f849856d95a7e954ba7c7d793c53f208e.png"/><Relationship Id="rId16" Type="http://schemas.openxmlformats.org/officeDocument/2006/relationships/image" Target="media/e0b39c1a46fde26f5a5b0d75c8eb15cb4898b964.png"/><Relationship Id="rId17" Type="http://schemas.openxmlformats.org/officeDocument/2006/relationships/image" Target="media/6f282c6c734b3a064f40a7cb22f64f2655a7cf2b.png"/><Relationship Id="rId18" Type="http://schemas.openxmlformats.org/officeDocument/2006/relationships/image" Target="media/7ccdf1e8be85225e2411caee08ae79adac8bc10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2026-07-29T06:48:53.953Z</dcterms:created>
  <dcterms:modified xsi:type="dcterms:W3CDTF">2026-07-29T06:48:53.965Z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