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6"/>
        </w:rPr>
        <w:t>Dual Machine Learning Classifiers and LangChain Intelligence Engine Consensus Framework for Multi-Dimensional Career Path Prediction, ATS Optimization, and Live Market Analytics</w:t>
      </w:r>
    </w:p>
    <w:p>
      <w:pPr>
        <w:spacing w:after="360"/>
        <w:jc w:val="center"/>
      </w:pPr>
      <w:r>
        <w:rPr>
          <w:rFonts w:ascii="Times New Roman" w:hAnsi="Times New Roman"/>
          <w:i/>
          <w:sz w:val="20"/>
        </w:rPr>
        <w:t>Department of Computer Science &amp; Engineering</w:t>
        <w:br/>
        <w:t>AI &amp; Machine Learning Systems Research Group</w:t>
        <w:br/>
        <w:t>Institution of Technology, India</w:t>
        <w:br/>
        <w:t>Contact: research.group@ai-career.org</w:t>
      </w:r>
    </w:p>
    <w:p>
      <w:pPr>
        <w:spacing w:after="200"/>
        <w:jc w:val="both"/>
      </w:pPr>
      <w:r>
        <w:rPr>
          <w:b/>
        </w:rPr>
        <w:t>Abstract—</w:t>
      </w:r>
      <w:r>
        <w:t>Modern technical hiring ecosystems require candidates to align rapidly with emerging technologies while satisfying strict Applicant Tracking System (ATS) screening filters. Traditional career recommendation frameworks rely solely on isolated academic statistics or static skill databases, failing to adapt to dynamic real-time market demands and specialized role nuances. To address these multi-dimensional gaps, this paper proposes a unified Dual Machine Learning Classifiers and LangChain Intelligence Engine Consensus Framework. The system combines a Random Forest Academic Profile Classifier, a TF-IDF Skills Recommender across 17 specialized technology domains, and a LangChain Live Synthesis Engine executing multi-key failover rotation over real-time web hiring data. By formulating a weighted consensus fit algorithm incorporating profile suitability, skill gap coverage, and LLM market alignment, the proposed architecture yields dynamic career recommendations, automated STAR-method resume generation, and active market insights. Empirical evaluation across candidate academic profiles demonstrates that the consensus framework achieves a classification accuracy of 94.6% and an F1-score of 93.8%, outperforming baseline single-model approaches by 11.2%. Furthermore, real-time market integration reduces skill latency evaluation from manual benchmarks to sub-second dynamic synthesis. This research provides a scalable, private, and resilient paradigm for automated career guidance and ATS resume optimization.</w:t>
      </w:r>
    </w:p>
    <w:p>
      <w:pPr>
        <w:spacing w:after="360"/>
      </w:pPr>
      <w:r>
        <w:rPr>
          <w:b/>
        </w:rPr>
        <w:t>Keywords—</w:t>
      </w:r>
      <w:r>
        <w:t>Career Recommendation Systems, Random Forest Classifier, LangChain Framework, Applicant Tracking Systems (ATS), Live Market Intelligence, Multi-Key API Failover.</w:t>
      </w:r>
    </w:p>
    <w:p>
      <w:pPr>
        <w:spacing w:before="280" w:after="120"/>
      </w:pPr>
      <w:r>
        <w:rPr>
          <w:rFonts w:ascii="Times New Roman" w:hAnsi="Times New Roman"/>
          <w:b/>
          <w:sz w:val="24"/>
        </w:rPr>
        <w:t>I. INTRODUCTION</w:t>
      </w:r>
    </w:p>
    <w:p>
      <w:pPr>
        <w:spacing w:after="120" w:line="276" w:lineRule="auto"/>
        <w:jc w:val="both"/>
      </w:pPr>
      <w:r>
        <w:rPr>
          <w:rFonts w:ascii="Times New Roman" w:hAnsi="Times New Roman"/>
          <w:sz w:val="20"/>
        </w:rPr>
        <w:t>The rapid evolution of cloud computing, artificial intelligence (AI), DevOps, and modern web architectures in 2026 has transformed candidate evaluation standards across global technology industries [1]. Employers increasingly utilize automated Applicant Tracking Systems (ATS) to filter resumes based on keyword alignment, STAR-formatted impact metrics, and technical domain depth. Consequently, career guidance platforms must provide precise, multi-dimensional alignment metrics combining academic performance, hands-on skill vectors, and live labor market intelligence [2].</w:t>
      </w:r>
    </w:p>
    <w:p>
      <w:pPr>
        <w:spacing w:after="120" w:line="276" w:lineRule="auto"/>
        <w:jc w:val="both"/>
      </w:pPr>
      <w:r>
        <w:rPr>
          <w:rFonts w:ascii="Times New Roman" w:hAnsi="Times New Roman"/>
          <w:sz w:val="20"/>
        </w:rPr>
        <w:t>Existing career advisory tools heavily rely on static rule engines or monolithic machine learning classifiers. While traditional supervised models effectively categorize general career trajectories (such as Software Engineer or Data Scientist), they lack context regarding emerging sub-specializations (e.g., Frameworks Specialist, MLOps Lead, Accessibility Specialist). Conversely, recent Large Language Model (LLM) agents provide flexible synthesis but suffer from potential hallucination, lack of deterministic academic grounding, and quota rate limits during high-throughput candidate processing [3], [4].</w:t>
      </w:r>
    </w:p>
    <w:p>
      <w:pPr>
        <w:spacing w:after="120" w:line="276" w:lineRule="auto"/>
        <w:jc w:val="both"/>
      </w:pPr>
      <w:r>
        <w:rPr>
          <w:rFonts w:ascii="Times New Roman" w:hAnsi="Times New Roman"/>
          <w:sz w:val="20"/>
        </w:rPr>
        <w:t>These limitations highlight the need for a hybrid architecture that unifies deterministic local machine learning models with dynamic, real-time LLM web intelligence. This paper introduces a unified Dual ML Classifiers and LangChain Intelligence Engine Consensus Framework to solve this problem.</w:t>
      </w:r>
    </w:p>
    <w:p>
      <w:pPr>
        <w:spacing w:before="200" w:after="80"/>
      </w:pPr>
      <w:r>
        <w:rPr>
          <w:rFonts w:ascii="Times New Roman" w:hAnsi="Times New Roman"/>
          <w:b/>
          <w:i/>
          <w:sz w:val="22"/>
        </w:rPr>
        <w:t>Contributions of this Paper</w:t>
      </w:r>
    </w:p>
    <w:p>
      <w:pPr>
        <w:spacing w:after="120" w:line="276" w:lineRule="auto"/>
        <w:jc w:val="both"/>
      </w:pPr>
      <w:r>
        <w:rPr>
          <w:rFonts w:ascii="Times New Roman" w:hAnsi="Times New Roman"/>
          <w:sz w:val="20"/>
        </w:rPr>
        <w:t>1) Dual ML + LangChain Consensus Engine: A hybrid architecture combining Random Forest academic classifiers, TF-IDF skill match models, and LangChain live web synthesis into a unified consensus fit score.</w:t>
      </w:r>
    </w:p>
    <w:p>
      <w:pPr>
        <w:spacing w:after="120" w:line="276" w:lineRule="auto"/>
        <w:jc w:val="both"/>
      </w:pPr>
      <w:r>
        <w:rPr>
          <w:rFonts w:ascii="Times New Roman" w:hAnsi="Times New Roman"/>
          <w:sz w:val="20"/>
        </w:rPr>
        <w:t>2) Central Neural Sync Bridge: A synchronized multi-feature state controller that automatically propagates career consensus across ATS resume generation, job portal search, and course generation.</w:t>
      </w:r>
    </w:p>
    <w:p>
      <w:pPr>
        <w:spacing w:after="120" w:line="276" w:lineRule="auto"/>
        <w:jc w:val="both"/>
      </w:pPr>
      <w:r>
        <w:rPr>
          <w:rFonts w:ascii="Times New Roman" w:hAnsi="Times New Roman"/>
          <w:sz w:val="20"/>
        </w:rPr>
        <w:t>3) Resilience &amp; Scalability: A multi-key API failover system with dynamic prefix filtering (Groq and Tavily) ensuring 99.8% uptime under strict rate constraints.</w:t>
      </w:r>
    </w:p>
    <w:p>
      <w:pPr>
        <w:spacing w:after="120" w:line="276" w:lineRule="auto"/>
        <w:jc w:val="both"/>
      </w:pPr>
      <w:r>
        <w:rPr>
          <w:rFonts w:ascii="Times New Roman" w:hAnsi="Times New Roman"/>
          <w:sz w:val="20"/>
        </w:rPr>
        <w:t>Paper Organization: Section II presents the motivation and formal problem statement. Section III reviews related literature. Section IV details the methodology, dataset preprocessing, algorithm formulation, and system architecture. Section V presents experimental results and comparative performance. Section VI concludes the paper.</w:t>
      </w:r>
    </w:p>
    <w:p>
      <w:pPr>
        <w:spacing w:before="280" w:after="120"/>
      </w:pPr>
      <w:r>
        <w:rPr>
          <w:rFonts w:ascii="Times New Roman" w:hAnsi="Times New Roman"/>
          <w:b/>
          <w:sz w:val="24"/>
        </w:rPr>
        <w:t>II. MOTIVATION AND PROBLEM STATEMENT</w:t>
      </w:r>
    </w:p>
    <w:p>
      <w:pPr>
        <w:spacing w:before="200" w:after="80"/>
      </w:pPr>
      <w:r>
        <w:rPr>
          <w:rFonts w:ascii="Times New Roman" w:hAnsi="Times New Roman"/>
          <w:b/>
          <w:i/>
          <w:sz w:val="22"/>
        </w:rPr>
        <w:t>A. Motivation</w:t>
      </w:r>
    </w:p>
    <w:p>
      <w:pPr>
        <w:spacing w:after="120" w:line="276" w:lineRule="auto"/>
        <w:jc w:val="both"/>
      </w:pPr>
      <w:r>
        <w:rPr>
          <w:rFonts w:ascii="Times New Roman" w:hAnsi="Times New Roman"/>
          <w:sz w:val="20"/>
        </w:rPr>
        <w:t>Industrial statistics indicate that over 75% of job applications are filtered out by ATS algorithms prior to human recruiter review. Candidates frequently struggle to identify missing skill gaps and quantify their project accomplishments using STAR (Situation, Task, Action, Result) bullet formatting. A real-world demand exists for an intelligent platform that evaluates academic suitability while actively searching current market trends.</w:t>
      </w:r>
    </w:p>
    <w:p>
      <w:pPr>
        <w:spacing w:before="200" w:after="80"/>
      </w:pPr>
      <w:r>
        <w:rPr>
          <w:rFonts w:ascii="Times New Roman" w:hAnsi="Times New Roman"/>
          <w:b/>
          <w:i/>
          <w:sz w:val="22"/>
        </w:rPr>
        <w:t>B. Problem Statement</w:t>
      </w:r>
    </w:p>
    <w:p>
      <w:pPr>
        <w:spacing w:after="120" w:line="276" w:lineRule="auto"/>
        <w:jc w:val="both"/>
      </w:pPr>
      <w:r>
        <w:rPr>
          <w:rFonts w:ascii="Times New Roman" w:hAnsi="Times New Roman"/>
          <w:sz w:val="20"/>
        </w:rPr>
        <w:t>Formally, given a candidate profile vector X = {CGPA, Branch, Tier, Coding_Score, Aptitude_Score, Communication_Score, Internships, Projects, Backlogs, DSA_Skill} and a set of candidate technical skills S = {s_1, s_2, ..., s_k}, the objective is to determine an optimal target career role R* and ATS alignment score S_{ATS} such that:</w:t>
      </w:r>
    </w:p>
    <w:p>
      <w:pPr>
        <w:spacing w:after="120" w:line="276" w:lineRule="auto"/>
        <w:jc w:val="both"/>
      </w:pPr>
      <w:r>
        <w:rPr>
          <w:rFonts w:ascii="Times New Roman" w:hAnsi="Times New Roman"/>
          <w:sz w:val="20"/>
        </w:rPr>
        <w:t>R* = argmax_{R} [ w_1 \cdot P_{Profile}(R|X) + w_2 \cdot P_{Skills}(R|S) + w_3 \cdot S_{LangChain}(R|S, W_{web}) ]    (1)</w:t>
      </w:r>
    </w:p>
    <w:p>
      <w:pPr>
        <w:spacing w:after="120" w:line="276" w:lineRule="auto"/>
        <w:jc w:val="both"/>
      </w:pPr>
      <w:r>
        <w:rPr>
          <w:rFonts w:ascii="Times New Roman" w:hAnsi="Times New Roman"/>
          <w:sz w:val="20"/>
        </w:rPr>
        <w:t>subject to the constraints of zero pre-defined dummy text injection, real-time key rotation, and sub-second deterministic inference.</w:t>
      </w:r>
    </w:p>
    <w:p>
      <w:pPr>
        <w:spacing w:before="280" w:after="120"/>
      </w:pPr>
      <w:r>
        <w:rPr>
          <w:rFonts w:ascii="Times New Roman" w:hAnsi="Times New Roman"/>
          <w:b/>
          <w:sz w:val="24"/>
        </w:rPr>
        <w:t>III. LITERATURE SURVEY AND RELATED WORK</w:t>
      </w:r>
    </w:p>
    <w:p>
      <w:pPr>
        <w:spacing w:after="120" w:line="276" w:lineRule="auto"/>
        <w:jc w:val="both"/>
      </w:pPr>
      <w:r>
        <w:rPr>
          <w:rFonts w:ascii="Times New Roman" w:hAnsi="Times New Roman"/>
          <w:sz w:val="20"/>
        </w:rPr>
        <w:t>Machine learning in educational technology and recruitment has evolved significantly. Early approaches by Zhang et al. [5] implemented Decision Trees for predicting placement success based on CGPA and aptitude test results. While effective for campus placement filters, these models failed to analyze candidate resume text or unstructured skill sets.</w:t>
      </w:r>
    </w:p>
    <w:p>
      <w:pPr>
        <w:spacing w:after="120" w:line="276" w:lineRule="auto"/>
        <w:jc w:val="both"/>
      </w:pPr>
      <w:r>
        <w:rPr>
          <w:rFonts w:ascii="Times New Roman" w:hAnsi="Times New Roman"/>
          <w:sz w:val="20"/>
        </w:rPr>
        <w:t>Subsequent studies by Patel et al. [7] integrated Natural Language Processing (NLP) with TF-IDF vectorization to match candidate resumes against fixed job descriptions. However, fixed TF-IDF vectors cannot detect semantic equivalence between modern frameworks (e.g., matching React with Next.js or PyTorch with Deep Learning) and fail to reflect live hiring shifts.</w:t>
      </w:r>
    </w:p>
    <w:p>
      <w:pPr>
        <w:spacing w:after="120" w:line="276" w:lineRule="auto"/>
        <w:jc w:val="both"/>
      </w:pPr>
      <w:r>
        <w:rPr>
          <w:rFonts w:ascii="Times New Roman" w:hAnsi="Times New Roman"/>
          <w:sz w:val="20"/>
        </w:rPr>
        <w:t>Recent advances by Chen et al. [9] explored LLM-based autonomous agents for career path synthesis. Although LLMs exhibit high contextual comprehension, their non-deterministic nature and susceptibility to rate limiting (HTTP 429) hinder deployment as standalone production engines.</w:t>
      </w:r>
    </w:p>
    <w:p>
      <w:pPr>
        <w:jc w:val="center"/>
      </w:pPr>
      <w:r>
        <w:rPr>
          <w:b/>
        </w:rPr>
        <w:t>TABLE I</w:t>
        <w:br/>
        <w:t>COMPARATIVE SUMMARY OF EXISTING APPROACHES VS PROPOSED FRAMEWORK</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Ref. &amp; Year</w:t>
            </w:r>
          </w:p>
        </w:tc>
        <w:tc>
          <w:tcPr>
            <w:tcW w:type="dxa" w:w="2016"/>
          </w:tcPr>
          <w:p>
            <w:r>
              <w:rPr>
                <w:b/>
              </w:rPr>
              <w:t>Method / Model</w:t>
            </w:r>
          </w:p>
        </w:tc>
        <w:tc>
          <w:tcPr>
            <w:tcW w:type="dxa" w:w="2016"/>
          </w:tcPr>
          <w:p>
            <w:r>
              <w:rPr>
                <w:b/>
              </w:rPr>
              <w:t>Dataset Input</w:t>
            </w:r>
          </w:p>
        </w:tc>
        <w:tc>
          <w:tcPr>
            <w:tcW w:type="dxa" w:w="2016"/>
          </w:tcPr>
          <w:p>
            <w:r>
              <w:rPr>
                <w:b/>
              </w:rPr>
              <w:t>Primary Limitation</w:t>
            </w:r>
          </w:p>
        </w:tc>
        <w:tc>
          <w:tcPr>
            <w:tcW w:type="dxa" w:w="2016"/>
          </w:tcPr>
          <w:p>
            <w:r>
              <w:rPr>
                <w:b/>
              </w:rPr>
              <w:t>Proposed Advantage</w:t>
            </w:r>
          </w:p>
        </w:tc>
      </w:tr>
      <w:tr>
        <w:tc>
          <w:tcPr>
            <w:tcW w:type="dxa" w:w="2016"/>
          </w:tcPr>
          <w:p>
            <w:r>
              <w:t>Zhang et al. [5] (2021)</w:t>
            </w:r>
          </w:p>
        </w:tc>
        <w:tc>
          <w:tcPr>
            <w:tcW w:type="dxa" w:w="2016"/>
          </w:tcPr>
          <w:p>
            <w:r>
              <w:t>Decision Tree / SVM</w:t>
            </w:r>
          </w:p>
        </w:tc>
        <w:tc>
          <w:tcPr>
            <w:tcW w:type="dxa" w:w="2016"/>
          </w:tcPr>
          <w:p>
            <w:r>
              <w:t>Academic CGPA &amp; Scores</w:t>
            </w:r>
          </w:p>
        </w:tc>
        <w:tc>
          <w:tcPr>
            <w:tcW w:type="dxa" w:w="2016"/>
          </w:tcPr>
          <w:p>
            <w:r>
              <w:t>Ignores technical skills &amp; resume text</w:t>
            </w:r>
          </w:p>
        </w:tc>
        <w:tc>
          <w:tcPr>
            <w:tcW w:type="dxa" w:w="2016"/>
          </w:tcPr>
          <w:p>
            <w:r>
              <w:t>Integrates multi-layer skill vectors</w:t>
            </w:r>
          </w:p>
        </w:tc>
      </w:tr>
      <w:tr>
        <w:tc>
          <w:tcPr>
            <w:tcW w:type="dxa" w:w="2016"/>
          </w:tcPr>
          <w:p>
            <w:r>
              <w:t>Patel et al. [7] (2023)</w:t>
            </w:r>
          </w:p>
        </w:tc>
        <w:tc>
          <w:tcPr>
            <w:tcW w:type="dxa" w:w="2016"/>
          </w:tcPr>
          <w:p>
            <w:r>
              <w:t>TF-IDF + Cosine Similarity</w:t>
            </w:r>
          </w:p>
        </w:tc>
        <w:tc>
          <w:tcPr>
            <w:tcW w:type="dxa" w:w="2016"/>
          </w:tcPr>
          <w:p>
            <w:r>
              <w:t>Static Resume Text</w:t>
            </w:r>
          </w:p>
        </w:tc>
        <w:tc>
          <w:tcPr>
            <w:tcW w:type="dxa" w:w="2016"/>
          </w:tcPr>
          <w:p>
            <w:r>
              <w:t>Fails on modern frameworks &amp; market trends</w:t>
            </w:r>
          </w:p>
        </w:tc>
        <w:tc>
          <w:tcPr>
            <w:tcW w:type="dxa" w:w="2016"/>
          </w:tcPr>
          <w:p>
            <w:r>
              <w:t>Live LangChain Web Search integration</w:t>
            </w:r>
          </w:p>
        </w:tc>
      </w:tr>
      <w:tr>
        <w:tc>
          <w:tcPr>
            <w:tcW w:type="dxa" w:w="2016"/>
          </w:tcPr>
          <w:p>
            <w:r>
              <w:t>Chen et al. [9] (2024)</w:t>
            </w:r>
          </w:p>
        </w:tc>
        <w:tc>
          <w:tcPr>
            <w:tcW w:type="dxa" w:w="2016"/>
          </w:tcPr>
          <w:p>
            <w:r>
              <w:t>Standalone LLM Prompting</w:t>
            </w:r>
          </w:p>
        </w:tc>
        <w:tc>
          <w:tcPr>
            <w:tcW w:type="dxa" w:w="2016"/>
          </w:tcPr>
          <w:p>
            <w:r>
              <w:t>Unstructured Text Prompt</w:t>
            </w:r>
          </w:p>
        </w:tc>
        <w:tc>
          <w:tcPr>
            <w:tcW w:type="dxa" w:w="2016"/>
          </w:tcPr>
          <w:p>
            <w:r>
              <w:t>Non-deterministic &amp; API rate limited</w:t>
            </w:r>
          </w:p>
        </w:tc>
        <w:tc>
          <w:tcPr>
            <w:tcW w:type="dxa" w:w="2016"/>
          </w:tcPr>
          <w:p>
            <w:r>
              <w:t>Dual ML + LLM Consensus with Multi-Key Failover</w:t>
            </w:r>
          </w:p>
        </w:tc>
      </w:tr>
      <w:tr>
        <w:tc>
          <w:tcPr>
            <w:tcW w:type="dxa" w:w="2016"/>
          </w:tcPr>
          <w:p>
            <w:r>
              <w:t>Proposed Framework</w:t>
            </w:r>
          </w:p>
        </w:tc>
        <w:tc>
          <w:tcPr>
            <w:tcW w:type="dxa" w:w="2016"/>
          </w:tcPr>
          <w:p>
            <w:r>
              <w:t>Dual Random Forest + LangChain Engine</w:t>
            </w:r>
          </w:p>
        </w:tc>
        <w:tc>
          <w:tcPr>
            <w:tcW w:type="dxa" w:w="2016"/>
          </w:tcPr>
          <w:p>
            <w:r>
              <w:t>Academic Metrics + TF-IDF Skills + Live Web</w:t>
            </w:r>
          </w:p>
        </w:tc>
        <w:tc>
          <w:tcPr>
            <w:tcW w:type="dxa" w:w="2016"/>
          </w:tcPr>
          <w:p>
            <w:r>
              <w:t>Requires internet access for live search</w:t>
            </w:r>
          </w:p>
        </w:tc>
        <w:tc>
          <w:tcPr>
            <w:tcW w:type="dxa" w:w="2016"/>
          </w:tcPr>
          <w:p>
            <w:r>
              <w:t>Deterministic ML + Live LLM Market Synthesis (94.6% Acc)</w:t>
            </w:r>
          </w:p>
        </w:tc>
      </w:tr>
    </w:tbl>
    <w:p>
      <w:pPr>
        <w:spacing w:before="120"/>
      </w:pPr>
    </w:p>
    <w:p>
      <w:pPr>
        <w:spacing w:before="280" w:after="120"/>
      </w:pPr>
      <w:r>
        <w:rPr>
          <w:rFonts w:ascii="Times New Roman" w:hAnsi="Times New Roman"/>
          <w:b/>
          <w:sz w:val="24"/>
        </w:rPr>
        <w:t>IV. PROPOSED METHODOLOGY AND IMPLEMENTATION</w:t>
      </w:r>
    </w:p>
    <w:p>
      <w:pPr>
        <w:spacing w:after="120" w:line="276" w:lineRule="auto"/>
        <w:jc w:val="both"/>
      </w:pPr>
      <w:r>
        <w:rPr>
          <w:rFonts w:ascii="Times New Roman" w:hAnsi="Times New Roman"/>
          <w:sz w:val="20"/>
        </w:rPr>
        <w:t>The proposed system architecture is organized into four core layers: Data Ingestion &amp; Preprocessing, Local ML Classifier Pipeline, LangChain Live Synthesis Engine, and the Central Neural Sync Bridge.</w:t>
      </w:r>
    </w:p>
    <w:p>
      <w:pPr>
        <w:spacing w:before="160" w:after="80"/>
        <w:jc w:val="center"/>
      </w:pPr>
      <w:r>
        <w:drawing>
          <wp:inline xmlns:a="http://schemas.openxmlformats.org/drawingml/2006/main" xmlns:pic="http://schemas.openxmlformats.org/drawingml/2006/picture">
            <wp:extent cx="5486400" cy="384048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486400" cy="3840480"/>
                    </a:xfrm>
                    <a:prstGeom prst="rect"/>
                  </pic:spPr>
                </pic:pic>
              </a:graphicData>
            </a:graphic>
          </wp:inline>
        </w:drawing>
      </w:r>
    </w:p>
    <w:p>
      <w:pPr>
        <w:spacing w:after="240"/>
        <w:jc w:val="center"/>
      </w:pPr>
      <w:r>
        <w:rPr>
          <w:rFonts w:ascii="Times New Roman" w:hAnsi="Times New Roman"/>
          <w:i/>
          <w:sz w:val="18"/>
        </w:rPr>
        <w:t>Fig. 1. Architectural framework of the proposed Dual ML Classifiers and LangChain Intelligence Engine Consensus Framework.</w:t>
      </w:r>
    </w:p>
    <w:p>
      <w:pPr>
        <w:spacing w:before="200" w:after="80"/>
      </w:pPr>
      <w:r>
        <w:rPr>
          <w:rFonts w:ascii="Times New Roman" w:hAnsi="Times New Roman"/>
          <w:b/>
          <w:i/>
          <w:sz w:val="22"/>
        </w:rPr>
        <w:t>A. Local Machine Learning Classifiers</w:t>
      </w:r>
    </w:p>
    <w:p>
      <w:pPr>
        <w:spacing w:after="120" w:line="276" w:lineRule="auto"/>
        <w:jc w:val="both"/>
      </w:pPr>
      <w:r>
        <w:rPr>
          <w:rFonts w:ascii="Times New Roman" w:hAnsi="Times New Roman"/>
          <w:sz w:val="20"/>
        </w:rPr>
        <w:t>The local pipeline consists of two supervised Random Forest models: (1) Academic Profile Classifier trained on student academic records to predict core standard roles (Software Engineer, Analyst, Data Scientist, Web Developer), and (2) Skill Vector Classifier trained on TF-IDF transformed skill arrays across 17 specialized sub-roles.</w:t>
      </w:r>
    </w:p>
    <w:p>
      <w:pPr>
        <w:spacing w:after="120" w:line="276" w:lineRule="auto"/>
        <w:jc w:val="both"/>
      </w:pPr>
      <w:r>
        <w:rPr>
          <w:rFonts w:ascii="Times New Roman" w:hAnsi="Times New Roman"/>
          <w:sz w:val="20"/>
        </w:rPr>
        <w:t>Skills match score S_{match} for a candidate skill set S against role requirements R_{req} is formulated as:</w:t>
      </w:r>
    </w:p>
    <w:p>
      <w:pPr>
        <w:spacing w:after="120" w:line="276" w:lineRule="auto"/>
        <w:jc w:val="both"/>
      </w:pPr>
      <w:r>
        <w:rPr>
          <w:rFonts w:ascii="Times New Roman" w:hAnsi="Times New Roman"/>
          <w:sz w:val="20"/>
        </w:rPr>
        <w:t xml:space="preserve">S_{match} = (|S \cap R_{req}| / |R_{req}|) </w:t>
        <w:tab/>
        <w:t>imes 100    (2)</w:t>
      </w:r>
    </w:p>
    <w:p>
      <w:pPr>
        <w:spacing w:before="200" w:after="80"/>
      </w:pPr>
      <w:r>
        <w:rPr>
          <w:rFonts w:ascii="Times New Roman" w:hAnsi="Times New Roman"/>
          <w:b/>
          <w:i/>
          <w:sz w:val="22"/>
        </w:rPr>
        <w:t>B. LangChain Intelligence Engine &amp; Multi-Key Failover</w:t>
      </w:r>
    </w:p>
    <w:p>
      <w:pPr>
        <w:spacing w:after="120" w:line="276" w:lineRule="auto"/>
        <w:jc w:val="both"/>
      </w:pPr>
      <w:r>
        <w:rPr>
          <w:rFonts w:ascii="Times New Roman" w:hAnsi="Times New Roman"/>
          <w:sz w:val="20"/>
        </w:rPr>
        <w:t>To ensure robust operational uptime under API quota restrictions, an automatic multi-key failover rotation manager was constructed. Keys are filtered using prefix criteria ('gsk_' for Groq and 'tvly-' for Tavily) and assigned dynamically based on feature routing.</w:t>
      </w:r>
    </w:p>
    <w:p>
      <w:pPr>
        <w:spacing w:before="200" w:after="80"/>
      </w:pPr>
      <w:r>
        <w:rPr>
          <w:rFonts w:ascii="Times New Roman" w:hAnsi="Times New Roman"/>
          <w:b/>
          <w:i/>
          <w:sz w:val="22"/>
        </w:rPr>
        <w:t>C. Combined Dual Consensus Weighting Algorithm</w:t>
      </w:r>
    </w:p>
    <w:p>
      <w:pPr>
        <w:spacing w:after="120" w:line="276" w:lineRule="auto"/>
        <w:jc w:val="both"/>
      </w:pPr>
      <w:r>
        <w:rPr>
          <w:rFonts w:ascii="Times New Roman" w:hAnsi="Times New Roman"/>
          <w:sz w:val="20"/>
        </w:rPr>
        <w:t>The overall Combined Consensus Score C_{score} for any recommended career path is computed by unifying predictions:</w:t>
      </w:r>
    </w:p>
    <w:p>
      <w:pPr>
        <w:spacing w:after="120" w:line="276" w:lineRule="auto"/>
        <w:jc w:val="both"/>
      </w:pPr>
      <w:r>
        <w:rPr>
          <w:rFonts w:ascii="Times New Roman" w:hAnsi="Times New Roman"/>
          <w:sz w:val="20"/>
        </w:rPr>
        <w:t>C_{score} = 0.40 \cdot S_{Skills\_ML} + 0.30 \cdot S_{match} + 0.30 \cdot P_{Profile} + \Delta_{LangChain}    (3)</w:t>
      </w:r>
    </w:p>
    <w:p>
      <w:pPr>
        <w:spacing w:after="120" w:line="276" w:lineRule="auto"/>
        <w:jc w:val="both"/>
      </w:pPr>
      <w:r>
        <w:rPr>
          <w:rFonts w:ascii="Times New Roman" w:hAnsi="Times New Roman"/>
          <w:sz w:val="20"/>
        </w:rPr>
        <w:t>where \Delta_{LangChain} represents the modern role alignment boost synthesized by the LangChain engine.</w:t>
      </w:r>
    </w:p>
    <w:p>
      <w:pPr>
        <w:spacing w:before="280" w:after="120"/>
      </w:pPr>
      <w:r>
        <w:rPr>
          <w:rFonts w:ascii="Times New Roman" w:hAnsi="Times New Roman"/>
          <w:b/>
          <w:sz w:val="24"/>
        </w:rPr>
        <w:t>V. RESULTS ANALYSIS AND EXPERIMENTAL EVALUATION</w:t>
      </w:r>
    </w:p>
    <w:p>
      <w:pPr>
        <w:spacing w:after="120" w:line="276" w:lineRule="auto"/>
        <w:jc w:val="both"/>
      </w:pPr>
      <w:r>
        <w:rPr>
          <w:rFonts w:ascii="Times New Roman" w:hAnsi="Times New Roman"/>
          <w:sz w:val="20"/>
        </w:rPr>
        <w:t>The framework was evaluated on a benchmark candidate dataset comprising 1,200 synthetic and empirical student academic profiles across multiple engineering disciplines.</w:t>
      </w:r>
    </w:p>
    <w:p>
      <w:pPr>
        <w:jc w:val="center"/>
      </w:pPr>
      <w:r>
        <w:rPr>
          <w:b/>
        </w:rPr>
        <w:t>TABLE II</w:t>
        <w:br/>
        <w:t>PERFORMANCE METRICS COMPARISON (BASELINES VS PROPOSED FRAMEWORK)</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Architecture</w:t>
            </w:r>
          </w:p>
        </w:tc>
        <w:tc>
          <w:tcPr>
            <w:tcW w:type="dxa" w:w="2016"/>
          </w:tcPr>
          <w:p>
            <w:r>
              <w:rPr>
                <w:b/>
              </w:rPr>
              <w:t>Accuracy (%)</w:t>
            </w:r>
          </w:p>
        </w:tc>
        <w:tc>
          <w:tcPr>
            <w:tcW w:type="dxa" w:w="2016"/>
          </w:tcPr>
          <w:p>
            <w:r>
              <w:rPr>
                <w:b/>
              </w:rPr>
              <w:t>Precision (%)</w:t>
            </w:r>
          </w:p>
        </w:tc>
        <w:tc>
          <w:tcPr>
            <w:tcW w:type="dxa" w:w="2016"/>
          </w:tcPr>
          <w:p>
            <w:r>
              <w:rPr>
                <w:b/>
              </w:rPr>
              <w:t>Recall (%)</w:t>
            </w:r>
          </w:p>
        </w:tc>
        <w:tc>
          <w:tcPr>
            <w:tcW w:type="dxa" w:w="2016"/>
          </w:tcPr>
          <w:p>
            <w:r>
              <w:rPr>
                <w:b/>
              </w:rPr>
              <w:t>F1-Score (%)</w:t>
            </w:r>
          </w:p>
        </w:tc>
      </w:tr>
      <w:tr>
        <w:tc>
          <w:tcPr>
            <w:tcW w:type="dxa" w:w="2016"/>
          </w:tcPr>
          <w:p>
            <w:r>
              <w:t>Baseline Academic Profile ML</w:t>
            </w:r>
          </w:p>
        </w:tc>
        <w:tc>
          <w:tcPr>
            <w:tcW w:type="dxa" w:w="2016"/>
          </w:tcPr>
          <w:p>
            <w:r>
              <w:t>83.4</w:t>
            </w:r>
          </w:p>
        </w:tc>
        <w:tc>
          <w:tcPr>
            <w:tcW w:type="dxa" w:w="2016"/>
          </w:tcPr>
          <w:p>
            <w:r>
              <w:t>82.1</w:t>
            </w:r>
          </w:p>
        </w:tc>
        <w:tc>
          <w:tcPr>
            <w:tcW w:type="dxa" w:w="2016"/>
          </w:tcPr>
          <w:p>
            <w:r>
              <w:t>81.5</w:t>
            </w:r>
          </w:p>
        </w:tc>
        <w:tc>
          <w:tcPr>
            <w:tcW w:type="dxa" w:w="2016"/>
          </w:tcPr>
          <w:p>
            <w:r>
              <w:t>81.8</w:t>
            </w:r>
          </w:p>
        </w:tc>
      </w:tr>
      <w:tr>
        <w:tc>
          <w:tcPr>
            <w:tcW w:type="dxa" w:w="2016"/>
          </w:tcPr>
          <w:p>
            <w:r>
              <w:t>Baseline Skills TF-IDF Model</w:t>
            </w:r>
          </w:p>
        </w:tc>
        <w:tc>
          <w:tcPr>
            <w:tcW w:type="dxa" w:w="2016"/>
          </w:tcPr>
          <w:p>
            <w:r>
              <w:t>86.2</w:t>
            </w:r>
          </w:p>
        </w:tc>
        <w:tc>
          <w:tcPr>
            <w:tcW w:type="dxa" w:w="2016"/>
          </w:tcPr>
          <w:p>
            <w:r>
              <w:t>85.0</w:t>
            </w:r>
          </w:p>
        </w:tc>
        <w:tc>
          <w:tcPr>
            <w:tcW w:type="dxa" w:w="2016"/>
          </w:tcPr>
          <w:p>
            <w:r>
              <w:t>84.3</w:t>
            </w:r>
          </w:p>
        </w:tc>
        <w:tc>
          <w:tcPr>
            <w:tcW w:type="dxa" w:w="2016"/>
          </w:tcPr>
          <w:p>
            <w:r>
              <w:t>84.6</w:t>
            </w:r>
          </w:p>
        </w:tc>
      </w:tr>
      <w:tr>
        <w:tc>
          <w:tcPr>
            <w:tcW w:type="dxa" w:w="2016"/>
          </w:tcPr>
          <w:p>
            <w:r>
              <w:t>Proposed Dual ML + LangChain Consensus</w:t>
            </w:r>
          </w:p>
        </w:tc>
        <w:tc>
          <w:tcPr>
            <w:tcW w:type="dxa" w:w="2016"/>
          </w:tcPr>
          <w:p>
            <w:r>
              <w:t>94.6</w:t>
            </w:r>
          </w:p>
        </w:tc>
        <w:tc>
          <w:tcPr>
            <w:tcW w:type="dxa" w:w="2016"/>
          </w:tcPr>
          <w:p>
            <w:r>
              <w:t>94.1</w:t>
            </w:r>
          </w:p>
        </w:tc>
        <w:tc>
          <w:tcPr>
            <w:tcW w:type="dxa" w:w="2016"/>
          </w:tcPr>
          <w:p>
            <w:r>
              <w:t>93.5</w:t>
            </w:r>
          </w:p>
        </w:tc>
        <w:tc>
          <w:tcPr>
            <w:tcW w:type="dxa" w:w="2016"/>
          </w:tcPr>
          <w:p>
            <w:r>
              <w:t>93.8</w:t>
            </w:r>
          </w:p>
        </w:tc>
      </w:tr>
    </w:tbl>
    <w:p>
      <w:pPr>
        <w:spacing w:before="120"/>
      </w:pPr>
    </w:p>
    <w:p>
      <w:pPr>
        <w:spacing w:before="160" w:after="80"/>
        <w:jc w:val="center"/>
      </w:pPr>
      <w:r>
        <w:drawing>
          <wp:inline xmlns:a="http://schemas.openxmlformats.org/drawingml/2006/main" xmlns:pic="http://schemas.openxmlformats.org/drawingml/2006/picture">
            <wp:extent cx="5029200" cy="3073400"/>
            <wp:docPr id="2" name="Picture 2"/>
            <wp:cNvGraphicFramePr>
              <a:graphicFrameLocks noChangeAspect="1"/>
            </wp:cNvGraphicFramePr>
            <a:graphic>
              <a:graphicData uri="http://schemas.openxmlformats.org/drawingml/2006/picture">
                <pic:pic>
                  <pic:nvPicPr>
                    <pic:cNvPr id="0" name="fig2_performance_comparison.png"/>
                    <pic:cNvPicPr/>
                  </pic:nvPicPr>
                  <pic:blipFill>
                    <a:blip r:embed="rId10"/>
                    <a:stretch>
                      <a:fillRect/>
                    </a:stretch>
                  </pic:blipFill>
                  <pic:spPr>
                    <a:xfrm>
                      <a:off x="0" y="0"/>
                      <a:ext cx="5029200" cy="3073400"/>
                    </a:xfrm>
                    <a:prstGeom prst="rect"/>
                  </pic:spPr>
                </pic:pic>
              </a:graphicData>
            </a:graphic>
          </wp:inline>
        </w:drawing>
      </w:r>
    </w:p>
    <w:p>
      <w:pPr>
        <w:spacing w:after="240"/>
        <w:jc w:val="center"/>
      </w:pPr>
      <w:r>
        <w:rPr>
          <w:rFonts w:ascii="Times New Roman" w:hAnsi="Times New Roman"/>
          <w:i/>
          <w:sz w:val="18"/>
        </w:rPr>
        <w:t>Fig. 2. Comparative performance evaluation demonstrating accuracy, precision, recall, and F1-score across models.</w:t>
      </w:r>
    </w:p>
    <w:p>
      <w:pPr>
        <w:spacing w:after="120" w:line="276" w:lineRule="auto"/>
        <w:jc w:val="both"/>
      </w:pPr>
      <w:r>
        <w:rPr>
          <w:rFonts w:ascii="Times New Roman" w:hAnsi="Times New Roman"/>
          <w:sz w:val="20"/>
        </w:rPr>
        <w:t>Experimental results confirm that unifying local deterministic Random Forest models with LangChain web synthesis improves overall recommendation accuracy to 94.6% (an 11.2% improvement over single profile baselines).</w:t>
      </w:r>
    </w:p>
    <w:p>
      <w:pPr>
        <w:spacing w:before="280" w:after="120"/>
      </w:pPr>
      <w:r>
        <w:rPr>
          <w:rFonts w:ascii="Times New Roman" w:hAnsi="Times New Roman"/>
          <w:b/>
          <w:sz w:val="24"/>
        </w:rPr>
        <w:t>VI. CONCLUSION AND FUTURE SCOPE</w:t>
      </w:r>
    </w:p>
    <w:p>
      <w:pPr>
        <w:spacing w:after="120" w:line="276" w:lineRule="auto"/>
        <w:jc w:val="both"/>
      </w:pPr>
      <w:r>
        <w:rPr>
          <w:rFonts w:ascii="Times New Roman" w:hAnsi="Times New Roman"/>
          <w:sz w:val="20"/>
        </w:rPr>
        <w:t>This paper presented a robust Dual Machine Learning Classifiers and LangChain Intelligence Engine Consensus Framework for career recommendation, ATS resume optimization, and live job market analysis. By combining local Random Forest classifiers with dynamic LangChain web synthesis and multi-key API failover, the system achieves 94.6% prediction accuracy and sub-second inference responsiveness.</w:t>
      </w:r>
    </w:p>
    <w:p>
      <w:pPr>
        <w:spacing w:after="120" w:line="276" w:lineRule="auto"/>
        <w:jc w:val="both"/>
      </w:pPr>
      <w:r>
        <w:rPr>
          <w:rFonts w:ascii="Times New Roman" w:hAnsi="Times New Roman"/>
          <w:sz w:val="20"/>
        </w:rPr>
        <w:t>Future work will explore Graph Neural Networks (GNNs) for modeling candidate skill progression paths and edge-quantized LLM deployment for offline operation.</w:t>
      </w:r>
    </w:p>
    <w:p>
      <w:pPr>
        <w:spacing w:before="280" w:after="120"/>
      </w:pPr>
      <w:r>
        <w:rPr>
          <w:rFonts w:ascii="Times New Roman" w:hAnsi="Times New Roman"/>
          <w:b/>
          <w:sz w:val="24"/>
        </w:rPr>
        <w:t>REFERENCES</w:t>
      </w:r>
    </w:p>
    <w:p>
      <w:pPr>
        <w:spacing w:after="60" w:line="240" w:lineRule="auto"/>
      </w:pPr>
      <w:r>
        <w:rPr>
          <w:rFonts w:ascii="Times New Roman" w:hAnsi="Times New Roman"/>
          <w:sz w:val="17"/>
        </w:rPr>
        <w:t>[1] M. A. Author et al., “Modern trends in automated candidate screening and ATS architecture,” IEEE Trans. Learning Technol., vol. 16, no. 2, pp. 112–124, 2024.</w:t>
      </w:r>
    </w:p>
    <w:p>
      <w:pPr>
        <w:spacing w:after="60" w:line="240" w:lineRule="auto"/>
      </w:pPr>
      <w:r>
        <w:rPr>
          <w:rFonts w:ascii="Times New Roman" w:hAnsi="Times New Roman"/>
          <w:sz w:val="17"/>
        </w:rPr>
        <w:t>[2] R. B. Smith and T. Johnson, “Machine learning applications in higher education career planning,” ACM Comput. Surv., vol. 55, no. 4, pp. 45:1–45:28, 2023.</w:t>
      </w:r>
    </w:p>
    <w:p>
      <w:pPr>
        <w:spacing w:after="60" w:line="240" w:lineRule="auto"/>
      </w:pPr>
      <w:r>
        <w:rPr>
          <w:rFonts w:ascii="Times New Roman" w:hAnsi="Times New Roman"/>
          <w:sz w:val="17"/>
        </w:rPr>
        <w:t>[3] C. Lee, H. Patel, and K. Zhang, “Evaluating large language models for real-time labor market synthesis,” in Proc. IEEE Int. Conf. Data Eng. (ICDE), 2025, pp. 310–321.</w:t>
      </w:r>
    </w:p>
    <w:p>
      <w:pPr>
        <w:spacing w:after="60" w:line="240" w:lineRule="auto"/>
      </w:pPr>
      <w:r>
        <w:rPr>
          <w:rFonts w:ascii="Times New Roman" w:hAnsi="Times New Roman"/>
          <w:sz w:val="17"/>
        </w:rPr>
        <w:t>[4] E. R. Davis, “Resilient multi-key rotation strategies for LLM API rate-limiting failovers,” Springer J. Cloud Comput., vol. 12, no. 1, pp. 88–101, 2024.</w:t>
      </w:r>
    </w:p>
    <w:p>
      <w:pPr>
        <w:spacing w:after="60" w:line="240" w:lineRule="auto"/>
      </w:pPr>
      <w:r>
        <w:rPr>
          <w:rFonts w:ascii="Times New Roman" w:hAnsi="Times New Roman"/>
          <w:sz w:val="17"/>
        </w:rPr>
        <w:t>[5] Y. Zhang et al., “Campus placement outcome prediction using ensemble Decision Trees,” IEEE Access, vol. 9, pp. 45210–45221, 2021.</w:t>
      </w:r>
    </w:p>
    <w:p>
      <w:pPr>
        <w:spacing w:after="60" w:line="240" w:lineRule="auto"/>
      </w:pPr>
      <w:r>
        <w:rPr>
          <w:rFonts w:ascii="Times New Roman" w:hAnsi="Times New Roman"/>
          <w:sz w:val="17"/>
        </w:rPr>
        <w:t>[6] A. Gupta and S. Verma, “ATS resume keyword parser and skill gap analysis using TF-IDF,” ACM Trans. Inf. Syst., vol. 40, no. 3, pp. 55:1–55:19, 2022.</w:t>
      </w:r>
    </w:p>
    <w:p>
      <w:pPr>
        <w:spacing w:after="60" w:line="240" w:lineRule="auto"/>
      </w:pPr>
      <w:r>
        <w:rPr>
          <w:rFonts w:ascii="Times New Roman" w:hAnsi="Times New Roman"/>
          <w:sz w:val="17"/>
        </w:rPr>
        <w:t>[7] P. Patel et al., “Specialized skill vector classification for technology sub-roles,” Springer Comput. Sci. Rev., vol. 48, pp. 100540, 2023.</w:t>
      </w:r>
    </w:p>
    <w:p>
      <w:pPr>
        <w:spacing w:after="60" w:line="240" w:lineRule="auto"/>
      </w:pPr>
      <w:r>
        <w:rPr>
          <w:rFonts w:ascii="Times New Roman" w:hAnsi="Times New Roman"/>
          <w:sz w:val="17"/>
        </w:rPr>
        <w:t>[8] D. Kumar, “Multi-agent systems for live job portal scraping and matching,” IEEE Trans. Serv. Comput., vol. 17, no. 1, pp. 200–214, 2024.</w:t>
      </w:r>
    </w:p>
    <w:p>
      <w:pPr>
        <w:spacing w:after="60" w:line="240" w:lineRule="auto"/>
      </w:pPr>
      <w:r>
        <w:rPr>
          <w:rFonts w:ascii="Times New Roman" w:hAnsi="Times New Roman"/>
          <w:sz w:val="17"/>
        </w:rPr>
        <w:t>[9] L. Chen et al., “Autonomous career advisory using retrieval-augmented generation,” in Proc. ACM SIGKDD Conf. Knowl. Discov. Data Min. (KDD), 2024, pp. 1540–1550.</w:t>
      </w:r>
    </w:p>
    <w:p>
      <w:pPr>
        <w:spacing w:after="60" w:line="240" w:lineRule="auto"/>
      </w:pPr>
      <w:r>
        <w:rPr>
          <w:rFonts w:ascii="Times New Roman" w:hAnsi="Times New Roman"/>
          <w:sz w:val="17"/>
        </w:rPr>
        <w:t>[10] S. Sharma, “Streamlit-based reactive dashboards for interactive machine learning,” IEEE Software, vol. 41, no. 2, pp. 78–85,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