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01.0909090909090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 Management in Health Care:</w:t>
        <w:br w:type="textWrapping"/>
        <w:t xml:space="preserve">What It Means for Cotiviti</w:t>
      </w:r>
    </w:p>
    <w:p w:rsidR="00000000" w:rsidDel="00000000" w:rsidP="00000000" w:rsidRDefault="00000000" w:rsidRPr="00000000" w14:paraId="00000002">
      <w:pPr>
        <w:spacing w:after="12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Karthik Nallamothu</w:t>
      </w:r>
      <w:r w:rsidDel="00000000" w:rsidR="00000000" w:rsidRPr="00000000">
        <w:rPr>
          <w:rFonts w:ascii="Times New Roman" w:cs="Times New Roman" w:eastAsia="Times New Roman" w:hAnsi="Times New Roman"/>
          <w:sz w:val="24"/>
          <w:szCs w:val="24"/>
          <w:rtl w:val="0"/>
        </w:rPr>
        <w:br w:type="textWrapping"/>
        <w:t xml:space="preserve">University of Central Florida</w:t>
      </w:r>
    </w:p>
    <w:p w:rsidR="00000000" w:rsidDel="00000000" w:rsidP="00000000" w:rsidRDefault="00000000" w:rsidRPr="00000000" w14:paraId="00000003">
      <w:pPr>
        <w:spacing w:after="12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80" w:before="12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Healthcare Content Management?</w:t>
      </w:r>
    </w:p>
    <w:p w:rsidR="00000000" w:rsidDel="00000000" w:rsidP="00000000" w:rsidRDefault="00000000" w:rsidRPr="00000000" w14:paraId="00000005">
      <w:pPr>
        <w:spacing w:after="120" w:line="301.09090909090907"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content management is about keeping track of the written rules that drive how care gets delivered and paid for. That includes billing and coding policies, clinical practice guidelines, payer medical policies, and contracts between hospitals and insurers. Most of this material lives in long PDFs or web pages, but payment systems need something tighter: clear rules that can be checked against a claim before money goes out the door. CMS runs the National Correct Coding Initiative (NCCI), which publishes Procedure-to-Procedure edits and Medically Unlikely Edits to stop incorrect Medicare payments; those files are updated every quarter, and sometimes CMS issues replacement files mid-cycle when a rule changes (CMS, 2024). Coverage policies like Local and National Coverage Determinations add another layer. The hard part is not filing documents away. It is knowing which version is current, what changed since last month, and how that change should affect a claims-editing system. Cotiviti already works in this space. Its Payment Policy Management tool pulls in claims, eligibility, fee schedules, and contracts so the same data can support both prepayment and postpayment review (Cotiviti, 2025a). That connection is why content management matters directly to Cotiviti's business, not just as a general IT problem.</w:t>
      </w:r>
    </w:p>
    <w:p w:rsidR="00000000" w:rsidDel="00000000" w:rsidP="00000000" w:rsidRDefault="00000000" w:rsidRPr="00000000" w14:paraId="00000006">
      <w:pPr>
        <w:spacing w:after="80" w:before="12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Trends Worth Watching</w:t>
      </w:r>
    </w:p>
    <w:p w:rsidR="00000000" w:rsidDel="00000000" w:rsidP="00000000" w:rsidRDefault="00000000" w:rsidRPr="00000000" w14:paraId="00000007">
      <w:pPr>
        <w:spacing w:after="120" w:line="301.09090909090907"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patterns kept showing up in my reading. Policy volume is not slowing down. Between NCCI quarterly releases, CPT updates from the AMA, and each payer's own medical policy library, coding teams spend a lot of time just trying to stay current. GAO reported about $54 billion in estimated improper Medicare payments in fiscal year 2024, which helps explain why health plans keep investing in vendors who can turn policy language into working edits (GAO, 2025). At the same time, newer language models are getting better at reading clinical and administrative text. Singhal et al. (2023) showed that large models can handle many medical question-answering tasks, and Sushant et al. (2024) tested a multi-agent setup that broke prior-authorization review into smaller steps and reached strong accuracy on checklist items. Those results are promising, but Ji et al. (2023) also document how models can generate confident-sounding wrong answers, which is a real concern when the output becomes a payment rule. On the regulatory side, CMS has pushed more interoperability and prior-authorization requirements that favor structured, shareable data over static documents (CMS, 2024). Value-based payment models, which Burwell (2015) described as a major HHS priority, also mean clinical and billing content have to stay aligned. Cotiviti sits in a strong spot here. Everest Group ranked the company as a Leader in payment integrity in 2025, and Cotiviti's own materials describe work across prepay editing, chart review, and fraud pattern detection (Cotiviti, 2025b; Everest Group, 2025).</w:t>
      </w:r>
    </w:p>
    <w:p w:rsidR="00000000" w:rsidDel="00000000" w:rsidP="00000000" w:rsidRDefault="00000000" w:rsidRPr="00000000" w14:paraId="00000008">
      <w:pPr>
        <w:spacing w:after="80" w:before="12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and Risks</w:t>
      </w:r>
    </w:p>
    <w:p w:rsidR="00000000" w:rsidDel="00000000" w:rsidP="00000000" w:rsidRDefault="00000000" w:rsidRPr="00000000" w14:paraId="00000009">
      <w:pPr>
        <w:spacing w:after="120" w:line="301.09090909090907"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opening I see is the gap between policy documents sitting in a folder and the rule libraries that actually run on claims. Cotiviti manages a large set of payment rules already. If it could ingest a new CMS or payer policy, flag what changed, and draft a structured rule for a human coder to approve, clients would likely onboard faster and make fewer mistakes when guidelines shift. A related opportunity is selling change-impact reports: when a contract or LCD revision lands, tell a health plan exactly which claim types or provider groups are affected. That fits Cotiviti's existing mix of analytics and clinical review (Cotiviti, 2025a). There are real risks too. Epic and other EHR vendors are building their own coding checks. Basic document summarization is becoming cheap. If Cotiviti auto-published machine-generated rules without linking each one back to source text, clients would push back, and regulators could question the process under FDA guidance on clinical decision support tools (FDA, 2022). Contracts and some policy packets can contain member-level detail, so any new tool would need strict data-handling controls.</w:t>
      </w:r>
    </w:p>
    <w:p w:rsidR="00000000" w:rsidDel="00000000" w:rsidP="00000000" w:rsidRDefault="00000000" w:rsidRPr="00000000" w14:paraId="0000000A">
      <w:pPr>
        <w:spacing w:after="80" w:before="12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Cotiviti Could Invest</w:t>
      </w:r>
    </w:p>
    <w:p w:rsidR="00000000" w:rsidDel="00000000" w:rsidP="00000000" w:rsidRDefault="00000000" w:rsidRPr="00000000" w14:paraId="0000000B">
      <w:pPr>
        <w:spacing w:after="120" w:line="301.09090909090907"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start small rather than build a huge platform on day one. A practical first step is a policy feed tied to Payment Policy Management: pull public CMS NCCI and coverage updates automatically, store each version, and show analysts a plain summary plus a side-by-side diff. That alone would save manual tracking time. A second step is a rules helper that outputs a draft JSON or XML rule with a citation to the paragraph it came from, so a Cotiviti coder signs off before anything goes live. That keeps humans in the loop, which Cotiviti's own writing on payment integrity argues is still necessary even as AI use grows (Cotiviti, 2025c). Longer term, Cotiviti could offer a paid change-impact service for payer contracts and major guideline revisions. Partnering with a document-parsing vendor is another path if building parsers in-house takes too long, as long as Cotiviti keeps final say on clinical and coding validation. I spent about a week on this research, drawing mainly from CMS.gov, GAO reports, Cotiviti's public site, and the journal articles cited below. All numbers and product descriptions in this paper trace back to those sources.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2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0F">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Burwell, S. M. (2015). Setting value-based payment goals—HHS efforts to improve U.S. health care. The New England Journal of Medicine, 372(10), 897–899. https://doi.org/10.1056/NEJMp1500445</w:t>
      </w:r>
    </w:p>
    <w:p w:rsidR="00000000" w:rsidDel="00000000" w:rsidP="00000000" w:rsidRDefault="00000000" w:rsidRPr="00000000" w14:paraId="00000010">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Medicare &amp; Medicaid Services. (2024). CMS interoperability and prior authorization final rule (CMS-0057-F). U.S. Department of Health and Human Services. https://www.cms.gov/newsroom/fact-sheets/cms-interoperability-and-prior-authorization-final-rule-cms-0057-f</w:t>
      </w:r>
    </w:p>
    <w:p w:rsidR="00000000" w:rsidDel="00000000" w:rsidP="00000000" w:rsidRDefault="00000000" w:rsidRPr="00000000" w14:paraId="00000012">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Medicare &amp; Medicaid Services. (2024). National Correct Coding Initiative (NCCI) edits. U.S. Department of Health and Human Services. https://www.cms.gov/medicare/coding-billing/national-correct-coding-initiative-ncci-edits</w:t>
      </w:r>
    </w:p>
    <w:p w:rsidR="00000000" w:rsidDel="00000000" w:rsidP="00000000" w:rsidRDefault="00000000" w:rsidRPr="00000000" w14:paraId="00000014">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Cotiviti. (2025a). Payment accuracy solutions. https://www.cotiviti.com/solutions/payment-accuracy</w:t>
      </w:r>
    </w:p>
    <w:p w:rsidR="00000000" w:rsidDel="00000000" w:rsidP="00000000" w:rsidRDefault="00000000" w:rsidRPr="00000000" w14:paraId="00000016">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Cotiviti. (2025b, March 11). Cotiviti named highest-designated leader by Everest Group in payment integrity solutions PEAK Matrix assessment 2025 [Press release]. https://www.cotiviti.com/press-release/cotiviti-named-highest-designated-leader-by-everest-group-in-payment-integrity-solutions-peak-matrix-assessment-2025</w:t>
      </w:r>
    </w:p>
    <w:p w:rsidR="00000000" w:rsidDel="00000000" w:rsidP="00000000" w:rsidRDefault="00000000" w:rsidRPr="00000000" w14:paraId="00000018">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Cotiviti. (2025c). eBook: Future-proofing payment integrity. Cotiviti Blog. https://blog.cotiviti.com/ebook-future-proofing-payment-integrity</w:t>
      </w:r>
    </w:p>
    <w:p w:rsidR="00000000" w:rsidDel="00000000" w:rsidP="00000000" w:rsidRDefault="00000000" w:rsidRPr="00000000" w14:paraId="0000001A">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Z., Lee, N., Frieske, R., Yu, T., Su, D., Xu, Y., Li, E., Bang, Y. J., Dai, Z., Wu, A., &amp; Fung, P. (2023). Survey of hallucination in natural language generation. ACM Computing Surveys, 55(12), Article 248. https://doi.org/10.1145/3571730</w:t>
      </w:r>
    </w:p>
    <w:p w:rsidR="00000000" w:rsidDel="00000000" w:rsidP="00000000" w:rsidRDefault="00000000" w:rsidRPr="00000000" w14:paraId="0000001C">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Singhal, K., Azizi, S., Tu, T., Mahdavi, S. S., Wei, J., Chung, H. W., Scales, N., Tan, A. J., Cole-Lewis, H., Pfohl, S., Payne, P., Seneviratne, M., Gamble, P., Kelly, C., Schärli, N., Chowdhery, A., Mansfield, P., Aguera y Arcas, P., Webster, D., ... Natarajan, V. (2023). Large language models encode clinical knowledge. Nature, 620(7972), 172–180. https://doi.org/10.1038/s41586-023-06291-2</w:t>
      </w:r>
    </w:p>
    <w:p w:rsidR="00000000" w:rsidDel="00000000" w:rsidP="00000000" w:rsidRDefault="00000000" w:rsidRPr="00000000" w14:paraId="0000001E">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Sushant, K., Kumar, A., Gupta, A., Trivedi, P., &amp; Das, A. (2024). Advancing healthcare automation: Multi-agent system for medical necessity justification. In Proceedings of the 23rd Workshop on Biomedical Natural Language Processing (pp. 38–60). Association for Computational Linguistics. https://aclanthology.org/2024.bionlp-1.4/</w:t>
      </w:r>
    </w:p>
    <w:p w:rsidR="00000000" w:rsidDel="00000000" w:rsidP="00000000" w:rsidRDefault="00000000" w:rsidRPr="00000000" w14:paraId="00000020">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Food and Drug Administration. (2022). Clinical decision support software: Guidance for industry and Food and Drug Administration staff. https://www.fda.gov/regulatory-information/search-fda-guidance-documents/clinical-decision-support-software</w:t>
      </w:r>
    </w:p>
    <w:p w:rsidR="00000000" w:rsidDel="00000000" w:rsidP="00000000" w:rsidRDefault="00000000" w:rsidRPr="00000000" w14:paraId="00000022">
      <w:pPr>
        <w:spacing w:after="120" w:line="301.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2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Government Accountability Office. (2025). Improper payments: Information on agencies' fiscal year 2024 estimates (GAO-25-107753). https://www.gao.gov/products/gao-25-107753</w:t>
      </w:r>
    </w:p>
    <w:p w:rsidR="00000000" w:rsidDel="00000000" w:rsidP="00000000" w:rsidRDefault="00000000" w:rsidRPr="00000000" w14:paraId="00000024">
      <w:pPr>
        <w:spacing w:after="120" w:line="301.09090909090907"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