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55.0" w:type="dxa"/>
        <w:jc w:val="left"/>
        <w:tblLayout w:type="fixed"/>
        <w:tblLook w:val="0600"/>
      </w:tblPr>
      <w:tblGrid>
        <w:gridCol w:w="1725"/>
        <w:gridCol w:w="1815"/>
        <w:gridCol w:w="1380"/>
        <w:gridCol w:w="1620"/>
        <w:gridCol w:w="2415"/>
        <w:tblGridChange w:id="0">
          <w:tblGrid>
            <w:gridCol w:w="1725"/>
            <w:gridCol w:w="1815"/>
            <w:gridCol w:w="1380"/>
            <w:gridCol w:w="1620"/>
            <w:gridCol w:w="241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0f0f0"/>
                <w:sz w:val="21"/>
                <w:szCs w:val="2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0f0f0"/>
                <w:sz w:val="21"/>
                <w:szCs w:val="21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0f0f0"/>
                <w:sz w:val="21"/>
                <w:szCs w:val="21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0f0f0"/>
                <w:sz w:val="21"/>
                <w:szCs w:val="21"/>
                <w:rtl w:val="0"/>
              </w:rPr>
              <w:t xml:space="preserve">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0f0f0"/>
                <w:sz w:val="21"/>
                <w:szCs w:val="21"/>
                <w:rtl w:val="0"/>
              </w:rPr>
              <w:t xml:space="preserve">Service</w:t>
            </w:r>
          </w:p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.40283203125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0f0f0"/>
                <w:sz w:val="21"/>
                <w:szCs w:val="21"/>
                <w:rtl w:val="0"/>
              </w:rPr>
              <w:t xml:space="preserve">10.128.93.0/24</w:t>
              <w:tab/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0f0f0"/>
                <w:sz w:val="21"/>
                <w:szCs w:val="21"/>
                <w:rtl w:val="0"/>
              </w:rPr>
              <w:t xml:space="preserve">10.128.81.10–13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0f0f0"/>
                <w:sz w:val="21"/>
                <w:szCs w:val="21"/>
                <w:rtl w:val="0"/>
              </w:rPr>
              <w:t xml:space="preserve">TCP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0f0f0"/>
                <w:sz w:val="21"/>
                <w:szCs w:val="21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0f0f0"/>
                <w:sz w:val="21"/>
                <w:szCs w:val="21"/>
                <w:rtl w:val="0"/>
              </w:rPr>
              <w:t xml:space="preserve">SSH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10.128.93.0/24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10.128.81.10–13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TCP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8554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MediaMTX RTSP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10.128.93.0/24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10.128.81.10–13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TCP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8889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MediaMTX WebRTC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10.128.93.0/24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10.128.81.10–13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TCP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31000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NvStreamer UI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10.128.93.0/24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10.128.81.10–13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TCP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30888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VST UI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10.128.93.0/24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10.128.81.10–13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TCP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5601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Kibana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10.128.93.0/24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10.128.81.10–13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TCP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3002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RPM Web UI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10.128.93.0/24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10.128.81.10–13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TCP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8081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RPM Web API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10.128.93.0/24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10.128.81.10–13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TCP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3000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Agent chat UI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10.128.93.0/24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10.128.81.10–13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TCP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8003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Agent backend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10.128.93.0/24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10.128.81.10–13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TCP + UDP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3478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Coturn STUN/TURN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10.128.93.0/24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10.128.81.10–13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UDP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30001–31100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Coturn / WebRTC media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10.128.93.0/24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10.128.81.10–13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TCP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31554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NvStreamer RTSP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10.128.93.0/24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10.128.81.10–13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TCP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30554</w:t>
            </w:r>
          </w:p>
        </w:tc>
        <w:tc>
          <w:tcPr>
            <w:tcBorders>
              <w:bottom w:color="000000" w:space="0" w:sz="6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VST RTSP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bottom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10.128.93.0/24</w:t>
            </w:r>
          </w:p>
        </w:tc>
        <w:tc>
          <w:tcPr>
            <w:tcBorders>
              <w:bottom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10.128.81.10–13</w:t>
            </w:r>
          </w:p>
        </w:tc>
        <w:tc>
          <w:tcPr>
            <w:tcBorders>
              <w:bottom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TCP</w:t>
            </w:r>
          </w:p>
        </w:tc>
        <w:tc>
          <w:tcPr>
            <w:tcBorders>
              <w:bottom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8664</w:t>
            </w:r>
          </w:p>
        </w:tc>
        <w:tc>
          <w:tcPr>
            <w:tcBorders>
              <w:bottom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f0f0f0"/>
                <w:sz w:val="21"/>
                <w:szCs w:val="21"/>
              </w:rPr>
            </w:pPr>
            <w:r w:rsidDel="00000000" w:rsidR="00000000" w:rsidRPr="00000000">
              <w:rPr>
                <w:color w:val="f0f0f0"/>
                <w:sz w:val="21"/>
                <w:szCs w:val="21"/>
                <w:rtl w:val="0"/>
              </w:rPr>
              <w:t xml:space="preserve">DeepStream RTSP 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81818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